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F47B33" w:rsidTr="00F47B33">
        <w:trPr>
          <w:cantSplit/>
          <w:jc w:val="center"/>
        </w:trPr>
        <w:tc>
          <w:tcPr>
            <w:tcW w:w="9693" w:type="dxa"/>
          </w:tcPr>
          <w:p w:rsidR="00F47B33" w:rsidRDefault="00F47B33" w:rsidP="00F47B33">
            <w:pPr>
              <w:pStyle w:val="Intestazione"/>
              <w:tabs>
                <w:tab w:val="clear" w:pos="4819"/>
              </w:tabs>
              <w:ind w:right="-43"/>
              <w:jc w:val="center"/>
              <w:rPr>
                <w:rFonts w:ascii="Calibri" w:eastAsia="Calibri" w:hAnsi="Calibri" w:cs="Times New Roman"/>
                <w:color w:val="0000FF"/>
                <w:spacing w:val="5"/>
                <w:sz w:val="40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color w:val="0000FF"/>
                <w:spacing w:val="15"/>
                <w:sz w:val="40"/>
              </w:rPr>
              <w:t>CENTRO DI RIFERIMENTO ONCOLOGICO</w:t>
            </w:r>
          </w:p>
          <w:p w:rsidR="00F47B33" w:rsidRDefault="00F47B33" w:rsidP="00F47B33">
            <w:pPr>
              <w:pStyle w:val="Intestazione"/>
              <w:tabs>
                <w:tab w:val="clear" w:pos="4819"/>
              </w:tabs>
              <w:jc w:val="center"/>
              <w:rPr>
                <w:rFonts w:ascii="Calibri" w:eastAsia="Calibri" w:hAnsi="Calibri" w:cs="Times New Roman"/>
                <w:color w:val="0000FF"/>
                <w:spacing w:val="5"/>
                <w:sz w:val="36"/>
              </w:rPr>
            </w:pPr>
            <w:r>
              <w:rPr>
                <w:rFonts w:ascii="Calibri" w:eastAsia="Calibri" w:hAnsi="Calibri" w:cs="Times New Roman"/>
                <w:color w:val="0000FF"/>
              </w:rPr>
              <w:t>ISTITUTO NAZIONALE TUMORI - AVIANO</w:t>
            </w:r>
          </w:p>
        </w:tc>
      </w:tr>
      <w:tr w:rsidR="00F47B33" w:rsidTr="00F47B33">
        <w:trPr>
          <w:cantSplit/>
          <w:jc w:val="center"/>
        </w:trPr>
        <w:tc>
          <w:tcPr>
            <w:tcW w:w="9693" w:type="dxa"/>
          </w:tcPr>
          <w:p w:rsidR="00F47B33" w:rsidRDefault="00F47B33" w:rsidP="00F47B33">
            <w:pPr>
              <w:pStyle w:val="Intestazione"/>
              <w:tabs>
                <w:tab w:val="clear" w:pos="4819"/>
              </w:tabs>
              <w:ind w:right="-530"/>
              <w:jc w:val="center"/>
              <w:rPr>
                <w:rFonts w:ascii="Calibri" w:eastAsia="Calibri" w:hAnsi="Calibri" w:cs="Times New Roman"/>
                <w:color w:val="0000FF"/>
                <w:sz w:val="8"/>
              </w:rPr>
            </w:pPr>
          </w:p>
          <w:p w:rsidR="00F47B33" w:rsidRDefault="00F47B33" w:rsidP="00F47B33">
            <w:pPr>
              <w:pStyle w:val="Intestazione"/>
              <w:tabs>
                <w:tab w:val="clear" w:pos="4819"/>
              </w:tabs>
              <w:ind w:right="-43"/>
              <w:jc w:val="center"/>
              <w:rPr>
                <w:rFonts w:ascii="Calibri" w:eastAsia="Calibri" w:hAnsi="Calibri" w:cs="Times New Roman"/>
                <w:color w:val="0000FF"/>
                <w:sz w:val="16"/>
              </w:rPr>
            </w:pPr>
            <w:r>
              <w:rPr>
                <w:rFonts w:ascii="Calibri" w:eastAsia="Calibri" w:hAnsi="Calibri" w:cs="Times New Roman"/>
                <w:color w:val="0000FF"/>
                <w:sz w:val="18"/>
              </w:rPr>
              <w:t>ISTITUTO DI RICOVERO E CURA A CARATTERE SCIENTIFICO DI DIRITTO PUBBLICO (D.I. 31/07/90)</w:t>
            </w:r>
          </w:p>
          <w:p w:rsidR="00F47B33" w:rsidRDefault="00F47B33" w:rsidP="00F47B33">
            <w:pPr>
              <w:pStyle w:val="Intestazione"/>
              <w:tabs>
                <w:tab w:val="clear" w:pos="4819"/>
              </w:tabs>
              <w:jc w:val="center"/>
              <w:rPr>
                <w:rFonts w:ascii="Calibri" w:eastAsia="Calibri" w:hAnsi="Calibri" w:cs="Times New Roman"/>
                <w:color w:val="0000FF"/>
                <w:sz w:val="32"/>
              </w:rPr>
            </w:pPr>
            <w:r>
              <w:rPr>
                <w:rFonts w:ascii="Calibri" w:eastAsia="Calibri" w:hAnsi="Calibri" w:cs="Times New Roman"/>
                <w:color w:val="0000FF"/>
                <w:sz w:val="18"/>
              </w:rPr>
              <w:t>Via Franco Gallini, 2 - 33081 AVIANO - Italy - C.F. P.I. 00623340932 - Tel. 39-434-659111 - Fax 39-434-652182</w:t>
            </w:r>
            <w:r>
              <w:rPr>
                <w:rFonts w:ascii="Calibri" w:eastAsia="Calibri" w:hAnsi="Calibri" w:cs="Times New Roman"/>
                <w:color w:val="0000FF"/>
                <w:sz w:val="8"/>
              </w:rPr>
              <w:t>.</w:t>
            </w:r>
          </w:p>
        </w:tc>
      </w:tr>
    </w:tbl>
    <w:p w:rsidR="009D0FEC" w:rsidRDefault="009D0FEC" w:rsidP="009030D0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</w:p>
    <w:p w:rsidR="0094687A" w:rsidRDefault="0094687A" w:rsidP="009030D0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</w:p>
    <w:p w:rsidR="004B0806" w:rsidRDefault="004B0806" w:rsidP="009030D0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</w:p>
    <w:p w:rsidR="004B0806" w:rsidRDefault="004B0806" w:rsidP="009030D0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</w:p>
    <w:p w:rsidR="0094687A" w:rsidRDefault="0094687A" w:rsidP="009030D0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</w:p>
    <w:p w:rsidR="00A3222D" w:rsidRPr="00EC3C1A" w:rsidRDefault="00A3222D" w:rsidP="009030D0">
      <w:pPr>
        <w:pStyle w:val="Default"/>
        <w:jc w:val="center"/>
        <w:rPr>
          <w:rFonts w:asciiTheme="minorHAnsi" w:hAnsiTheme="minorHAnsi"/>
          <w:b/>
          <w:sz w:val="40"/>
          <w:szCs w:val="40"/>
        </w:rPr>
      </w:pPr>
      <w:r w:rsidRPr="00EC3C1A">
        <w:rPr>
          <w:rFonts w:asciiTheme="minorHAnsi" w:hAnsiTheme="minorHAnsi"/>
          <w:b/>
          <w:sz w:val="40"/>
          <w:szCs w:val="40"/>
        </w:rPr>
        <w:t>Relazione sulla performance anno 2013</w:t>
      </w:r>
    </w:p>
    <w:p w:rsidR="0036369C" w:rsidRDefault="0036369C" w:rsidP="00F71699">
      <w:pPr>
        <w:pStyle w:val="Default"/>
        <w:jc w:val="both"/>
        <w:rPr>
          <w:rFonts w:asciiTheme="minorHAnsi" w:hAnsiTheme="minorHAnsi"/>
        </w:rPr>
      </w:pPr>
    </w:p>
    <w:bookmarkStart w:id="1" w:name="Presentazione"/>
    <w:p w:rsidR="00F42C09" w:rsidRDefault="004A63EC" w:rsidP="002F31DB">
      <w:pPr>
        <w:pStyle w:val="Indice1"/>
        <w:sectPr w:rsidR="00F42C09" w:rsidSect="00F42C09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D218CE">
        <w:fldChar w:fldCharType="begin"/>
      </w:r>
      <w:r w:rsidR="00066F35" w:rsidRPr="00D218CE">
        <w:instrText xml:space="preserve"> INDEX \h " " \c "1" \z "1040" </w:instrText>
      </w:r>
      <w:r w:rsidRPr="00D218CE">
        <w:fldChar w:fldCharType="separate"/>
      </w:r>
    </w:p>
    <w:p w:rsidR="00F42C09" w:rsidRDefault="00F42C09">
      <w:pPr>
        <w:pStyle w:val="Titoloindice"/>
        <w:keepNext/>
        <w:tabs>
          <w:tab w:val="right" w:leader="dot" w:pos="9628"/>
        </w:tabs>
        <w:rPr>
          <w:b/>
          <w:bCs/>
          <w:noProof/>
        </w:rPr>
      </w:pPr>
      <w:r>
        <w:rPr>
          <w:noProof/>
        </w:rPr>
        <w:lastRenderedPageBreak/>
        <w:t xml:space="preserve"> </w:t>
      </w:r>
    </w:p>
    <w:p w:rsidR="00F42C09" w:rsidRPr="002F31DB" w:rsidRDefault="00F42C09" w:rsidP="002F31DB">
      <w:pPr>
        <w:pStyle w:val="Indice1"/>
      </w:pPr>
      <w:r w:rsidRPr="002F31DB">
        <w:t>1 Presentazione</w:t>
      </w:r>
      <w:r w:rsidR="002F31DB" w:rsidRPr="002F31DB">
        <w:tab/>
      </w:r>
      <w:r w:rsidRPr="002F31DB">
        <w:t>2</w:t>
      </w:r>
    </w:p>
    <w:p w:rsidR="00F42C09" w:rsidRPr="002F31DB" w:rsidRDefault="00F42C09" w:rsidP="002F31DB">
      <w:pPr>
        <w:pStyle w:val="Indice1"/>
      </w:pPr>
      <w:r w:rsidRPr="002F31DB">
        <w:t>2 Normativa di riferimento</w:t>
      </w:r>
      <w:r w:rsidR="002F31DB" w:rsidRPr="002F31DB">
        <w:tab/>
      </w:r>
      <w:r w:rsidRPr="002F31DB">
        <w:t>2</w:t>
      </w:r>
    </w:p>
    <w:p w:rsidR="00F42C09" w:rsidRPr="002F31DB" w:rsidRDefault="00F42C09" w:rsidP="002F31DB">
      <w:pPr>
        <w:pStyle w:val="Indice1"/>
      </w:pPr>
      <w:r w:rsidRPr="002F31DB">
        <w:t>3 Programmazione triennale e annuale</w:t>
      </w:r>
      <w:r w:rsidR="002F31DB" w:rsidRPr="002F31DB">
        <w:tab/>
      </w:r>
      <w:r w:rsidRPr="002F31DB">
        <w:t>3</w:t>
      </w:r>
    </w:p>
    <w:p w:rsidR="00F42C09" w:rsidRPr="002F31DB" w:rsidRDefault="00F42C09" w:rsidP="002F31DB">
      <w:pPr>
        <w:pStyle w:val="Indice1"/>
      </w:pPr>
      <w:r w:rsidRPr="002F31DB">
        <w:rPr>
          <w:sz w:val="24"/>
          <w:szCs w:val="24"/>
        </w:rPr>
        <w:t>3.1 Monitoraggio della gestione</w:t>
      </w:r>
      <w:r w:rsidR="002F31DB" w:rsidRPr="002F31DB">
        <w:tab/>
      </w:r>
      <w:r w:rsidRPr="002F31DB">
        <w:t>4</w:t>
      </w:r>
    </w:p>
    <w:p w:rsidR="00F42C09" w:rsidRDefault="00F42C09" w:rsidP="002F31DB">
      <w:pPr>
        <w:pStyle w:val="Indice1"/>
      </w:pPr>
      <w:r w:rsidRPr="002F31DB">
        <w:t>4 Gestione per budget</w:t>
      </w:r>
      <w:r w:rsidR="002F31DB" w:rsidRPr="002F31DB">
        <w:tab/>
      </w:r>
      <w:r w:rsidRPr="002F31DB">
        <w:t>7</w:t>
      </w:r>
    </w:p>
    <w:p w:rsidR="00F42C09" w:rsidRPr="002F31DB" w:rsidRDefault="00F42C09" w:rsidP="002F31DB">
      <w:pPr>
        <w:pStyle w:val="Indice1"/>
      </w:pPr>
      <w:r w:rsidRPr="002F31DB">
        <w:rPr>
          <w:sz w:val="24"/>
          <w:szCs w:val="24"/>
        </w:rPr>
        <w:t>4.1 Definizione degli obiettivi</w:t>
      </w:r>
      <w:r w:rsidR="002F31DB" w:rsidRPr="002F31DB">
        <w:tab/>
      </w:r>
      <w:r w:rsidRPr="002F31DB">
        <w:t>7</w:t>
      </w:r>
    </w:p>
    <w:p w:rsidR="00F42C09" w:rsidRDefault="00F42C09" w:rsidP="002F31DB">
      <w:pPr>
        <w:pStyle w:val="Indice1"/>
      </w:pPr>
      <w:r w:rsidRPr="002F31DB">
        <w:rPr>
          <w:sz w:val="24"/>
          <w:szCs w:val="24"/>
        </w:rPr>
        <w:t>4.2 Percorso di monitoraggio degli obiettivi/progetti</w:t>
      </w:r>
      <w:r w:rsidR="002F31DB" w:rsidRPr="002F31DB">
        <w:tab/>
      </w:r>
      <w:r w:rsidRPr="002F31DB">
        <w:t>8</w:t>
      </w:r>
    </w:p>
    <w:p w:rsidR="00F42C09" w:rsidRPr="002F31DB" w:rsidRDefault="00F42C09" w:rsidP="002F31DB">
      <w:pPr>
        <w:pStyle w:val="Indice1"/>
      </w:pPr>
      <w:r w:rsidRPr="002F31DB">
        <w:t>4.3 Valutazione della performance individuale</w:t>
      </w:r>
      <w:r w:rsidR="002F31DB">
        <w:tab/>
      </w:r>
      <w:r w:rsidRPr="002F31DB">
        <w:t>8</w:t>
      </w:r>
    </w:p>
    <w:p w:rsidR="00F42C09" w:rsidRPr="002F31DB" w:rsidRDefault="00F42C09" w:rsidP="002F31DB">
      <w:pPr>
        <w:pStyle w:val="Indice1"/>
        <w:sectPr w:rsidR="00F42C09" w:rsidRPr="002F31DB" w:rsidSect="00F42C09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DB5A99" w:rsidRDefault="004A63EC" w:rsidP="002F31DB">
      <w:pPr>
        <w:pStyle w:val="Indice1"/>
      </w:pPr>
      <w:r w:rsidRPr="00D218CE">
        <w:lastRenderedPageBreak/>
        <w:fldChar w:fldCharType="end"/>
      </w:r>
    </w:p>
    <w:p w:rsidR="00DB5A99" w:rsidRDefault="00DB5A99">
      <w:r>
        <w:br w:type="page"/>
      </w:r>
    </w:p>
    <w:p w:rsidR="00433EB3" w:rsidRDefault="00433EB3">
      <w:pPr>
        <w:rPr>
          <w:rFonts w:cs="DecimaWE"/>
          <w:color w:val="000000"/>
          <w:sz w:val="24"/>
          <w:szCs w:val="24"/>
        </w:rPr>
      </w:pPr>
    </w:p>
    <w:p w:rsidR="00DB5A99" w:rsidRPr="00927899" w:rsidRDefault="00DB5A99" w:rsidP="009030D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F71699" w:rsidRPr="00927899" w:rsidRDefault="00927899" w:rsidP="009030D0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1 </w:t>
      </w:r>
      <w:r w:rsidR="00F71699" w:rsidRPr="00927899">
        <w:rPr>
          <w:rFonts w:asciiTheme="minorHAnsi" w:hAnsiTheme="minorHAnsi"/>
          <w:b/>
          <w:bCs/>
          <w:sz w:val="28"/>
          <w:szCs w:val="28"/>
        </w:rPr>
        <w:t>Presentazione</w:t>
      </w:r>
      <w:r w:rsidR="004A63EC">
        <w:rPr>
          <w:rFonts w:asciiTheme="minorHAnsi" w:hAnsiTheme="minorHAnsi"/>
          <w:b/>
          <w:bCs/>
        </w:rPr>
        <w:fldChar w:fldCharType="begin"/>
      </w:r>
      <w:r w:rsidR="00F47B33">
        <w:instrText xml:space="preserve"> XE "</w:instrText>
      </w:r>
      <w:r w:rsidR="00F47B33" w:rsidRPr="00157E27">
        <w:rPr>
          <w:rFonts w:asciiTheme="minorHAnsi" w:hAnsiTheme="minorHAnsi"/>
          <w:b/>
          <w:bCs/>
          <w:sz w:val="28"/>
          <w:szCs w:val="28"/>
        </w:rPr>
        <w:instrText>1 Presentazione</w:instrText>
      </w:r>
      <w:r w:rsidR="00F47B33">
        <w:instrText xml:space="preserve">" </w:instrText>
      </w:r>
      <w:r w:rsidR="004A63EC">
        <w:rPr>
          <w:rFonts w:asciiTheme="minorHAnsi" w:hAnsiTheme="minorHAnsi"/>
          <w:b/>
          <w:bCs/>
        </w:rPr>
        <w:fldChar w:fldCharType="end"/>
      </w:r>
    </w:p>
    <w:bookmarkEnd w:id="1"/>
    <w:p w:rsidR="00F71699" w:rsidRPr="00066F35" w:rsidRDefault="00F71699" w:rsidP="00F71699">
      <w:pPr>
        <w:pStyle w:val="Default"/>
        <w:jc w:val="both"/>
        <w:rPr>
          <w:rFonts w:asciiTheme="minorHAnsi" w:hAnsiTheme="minorHAnsi"/>
          <w:sz w:val="12"/>
          <w:szCs w:val="12"/>
        </w:rPr>
      </w:pPr>
    </w:p>
    <w:p w:rsidR="00495AAE" w:rsidRPr="00405BF3" w:rsidRDefault="00495AAE" w:rsidP="00BD464A">
      <w:pPr>
        <w:pStyle w:val="Default"/>
        <w:jc w:val="both"/>
        <w:rPr>
          <w:rFonts w:asciiTheme="minorHAnsi" w:hAnsiTheme="minorHAnsi"/>
        </w:rPr>
      </w:pPr>
      <w:r w:rsidRPr="002703D2">
        <w:rPr>
          <w:rFonts w:asciiTheme="minorHAnsi" w:hAnsiTheme="minorHAnsi"/>
        </w:rPr>
        <w:t>La presente relazione sulla performance è redatta ai sensi dell’art. 10, comma 1, lett. b) del D.LGS. 150/2009</w:t>
      </w:r>
      <w:r w:rsidR="00F71699" w:rsidRPr="002703D2">
        <w:rPr>
          <w:rFonts w:asciiTheme="minorHAnsi" w:hAnsiTheme="minorHAnsi"/>
        </w:rPr>
        <w:t>, dell’art. 6, comma 2, lettera b) della L.R. 16/2010</w:t>
      </w:r>
      <w:r w:rsidRPr="002703D2">
        <w:rPr>
          <w:rFonts w:asciiTheme="minorHAnsi" w:hAnsiTheme="minorHAnsi"/>
        </w:rPr>
        <w:t xml:space="preserve"> e sulla base delle indicazioni contenute nella delibera CIVIT (ora A.NA.C) n. 5/2012 avente per oggetto “</w:t>
      </w:r>
      <w:r w:rsidR="00F71699" w:rsidRPr="002703D2">
        <w:rPr>
          <w:rFonts w:asciiTheme="minorHAnsi" w:hAnsiTheme="minorHAnsi" w:cs="Times New Roman"/>
        </w:rPr>
        <w:t xml:space="preserve"> </w:t>
      </w:r>
      <w:r w:rsidR="00F71699" w:rsidRPr="002703D2">
        <w:rPr>
          <w:rFonts w:asciiTheme="minorHAnsi" w:hAnsiTheme="minorHAnsi" w:cs="Times New Roman"/>
          <w:bCs/>
        </w:rPr>
        <w:t xml:space="preserve">Linee guida ai sensi dell’art. 13, comma 6, lettera b), del D. Lgs. n. 150/2009, relative alla struttura e alla modalità di redazione della Relazione </w:t>
      </w:r>
      <w:r w:rsidR="00F71699" w:rsidRPr="00405BF3">
        <w:rPr>
          <w:rFonts w:asciiTheme="minorHAnsi" w:hAnsiTheme="minorHAnsi" w:cs="Times New Roman"/>
          <w:bCs/>
        </w:rPr>
        <w:t xml:space="preserve">sulla </w:t>
      </w:r>
      <w:r w:rsidR="00F71699" w:rsidRPr="00405BF3">
        <w:rPr>
          <w:rFonts w:asciiTheme="minorHAnsi" w:hAnsiTheme="minorHAnsi" w:cs="Times New Roman"/>
          <w:bCs/>
          <w:iCs/>
        </w:rPr>
        <w:t xml:space="preserve">performance </w:t>
      </w:r>
      <w:r w:rsidR="00F71699" w:rsidRPr="00405BF3">
        <w:rPr>
          <w:rFonts w:asciiTheme="minorHAnsi" w:hAnsiTheme="minorHAnsi" w:cs="Times New Roman"/>
          <w:bCs/>
        </w:rPr>
        <w:t>di cui all’art. 10, comma 1, lettera b), dello stesso decreto</w:t>
      </w:r>
      <w:r w:rsidRPr="00405BF3">
        <w:rPr>
          <w:rFonts w:asciiTheme="minorHAnsi" w:hAnsiTheme="minorHAnsi"/>
        </w:rPr>
        <w:t>”.</w:t>
      </w:r>
    </w:p>
    <w:p w:rsidR="002703D2" w:rsidRPr="002703D2" w:rsidRDefault="00495AAE" w:rsidP="002703D2">
      <w:pPr>
        <w:spacing w:after="0" w:line="240" w:lineRule="auto"/>
        <w:jc w:val="both"/>
        <w:rPr>
          <w:sz w:val="24"/>
          <w:szCs w:val="24"/>
        </w:rPr>
      </w:pPr>
      <w:r w:rsidRPr="002703D2">
        <w:rPr>
          <w:sz w:val="24"/>
          <w:szCs w:val="24"/>
        </w:rPr>
        <w:t xml:space="preserve">Il documento evidenzia a consuntivo i risultati </w:t>
      </w:r>
      <w:r w:rsidR="00713D3E" w:rsidRPr="002703D2">
        <w:rPr>
          <w:sz w:val="24"/>
          <w:szCs w:val="24"/>
        </w:rPr>
        <w:t xml:space="preserve">di sintesi </w:t>
      </w:r>
      <w:r w:rsidRPr="002703D2">
        <w:rPr>
          <w:sz w:val="24"/>
          <w:szCs w:val="24"/>
        </w:rPr>
        <w:t>ottenuti dall’azienda rispetto agli obiettivi programmati e assegnati nell’anno 2013 e riportati nel programma annuale e nel documento di budget.</w:t>
      </w:r>
      <w:r w:rsidR="00713D3E" w:rsidRPr="002703D2">
        <w:rPr>
          <w:sz w:val="24"/>
          <w:szCs w:val="24"/>
        </w:rPr>
        <w:t xml:space="preserve"> Per maggiori dettagli si rinvia ai documenti che compongono il ciclo della performance.</w:t>
      </w:r>
    </w:p>
    <w:p w:rsidR="00495AAE" w:rsidRPr="002703D2" w:rsidRDefault="00495AAE" w:rsidP="002703D2">
      <w:pPr>
        <w:spacing w:after="0" w:line="240" w:lineRule="auto"/>
        <w:jc w:val="both"/>
        <w:rPr>
          <w:rFonts w:cs="Calibri-OneByteIdentityH"/>
          <w:sz w:val="24"/>
          <w:szCs w:val="24"/>
        </w:rPr>
      </w:pPr>
      <w:r w:rsidRPr="002703D2">
        <w:rPr>
          <w:rFonts w:cs="Calibri-OneByteIdentityH"/>
          <w:sz w:val="24"/>
          <w:szCs w:val="24"/>
        </w:rPr>
        <w:t>La Relazione viene sottoposta - per la validazione - all’Organismo Indipendente di Valutazione della Performance ai sensi dell’art. 14, commi 4, lettera c</w:t>
      </w:r>
      <w:r w:rsidR="00AA3C97" w:rsidRPr="002703D2">
        <w:rPr>
          <w:rFonts w:cs="Calibri-OneByteIdentityH"/>
          <w:sz w:val="24"/>
          <w:szCs w:val="24"/>
        </w:rPr>
        <w:t>,</w:t>
      </w:r>
      <w:r w:rsidRPr="002703D2">
        <w:rPr>
          <w:rFonts w:cs="Calibri-OneByteIdentityH"/>
          <w:sz w:val="24"/>
          <w:szCs w:val="24"/>
        </w:rPr>
        <w:t xml:space="preserve"> e </w:t>
      </w:r>
      <w:r w:rsidR="00AA3C97" w:rsidRPr="002703D2">
        <w:rPr>
          <w:rFonts w:cs="Calibri-OneByteIdentityH"/>
          <w:sz w:val="24"/>
          <w:szCs w:val="24"/>
        </w:rPr>
        <w:t xml:space="preserve">dell’art. </w:t>
      </w:r>
      <w:r w:rsidRPr="002703D2">
        <w:rPr>
          <w:rFonts w:cs="Calibri-OneByteIdentityH"/>
          <w:sz w:val="24"/>
          <w:szCs w:val="24"/>
        </w:rPr>
        <w:t>6 del D.LGS 150/2009.</w:t>
      </w:r>
    </w:p>
    <w:p w:rsidR="009030D0" w:rsidRPr="009030D0" w:rsidRDefault="009030D0" w:rsidP="002703D2">
      <w:pPr>
        <w:spacing w:line="240" w:lineRule="auto"/>
        <w:rPr>
          <w:b/>
          <w:bCs/>
          <w:sz w:val="8"/>
          <w:szCs w:val="8"/>
        </w:rPr>
      </w:pPr>
    </w:p>
    <w:p w:rsidR="009D317A" w:rsidRPr="00927899" w:rsidRDefault="00927899" w:rsidP="002703D2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9D317A" w:rsidRPr="00927899">
        <w:rPr>
          <w:b/>
          <w:bCs/>
          <w:sz w:val="28"/>
          <w:szCs w:val="28"/>
        </w:rPr>
        <w:t>Normativa di riferimento</w:t>
      </w:r>
      <w:r w:rsidR="004A63EC" w:rsidRPr="00927899">
        <w:rPr>
          <w:b/>
          <w:bCs/>
          <w:sz w:val="28"/>
          <w:szCs w:val="28"/>
        </w:rPr>
        <w:fldChar w:fldCharType="begin"/>
      </w:r>
      <w:r w:rsidR="0036369C" w:rsidRPr="00927899">
        <w:rPr>
          <w:sz w:val="28"/>
          <w:szCs w:val="28"/>
        </w:rPr>
        <w:instrText xml:space="preserve"> XE "</w:instrText>
      </w:r>
      <w:r w:rsidR="0036369C" w:rsidRPr="00927899">
        <w:rPr>
          <w:b/>
          <w:sz w:val="28"/>
          <w:szCs w:val="28"/>
        </w:rPr>
        <w:instrText xml:space="preserve">2 </w:instrText>
      </w:r>
      <w:r w:rsidR="0036369C" w:rsidRPr="00927899">
        <w:rPr>
          <w:b/>
          <w:bCs/>
          <w:sz w:val="28"/>
          <w:szCs w:val="28"/>
        </w:rPr>
        <w:instrText>Normativa di riferimento</w:instrText>
      </w:r>
      <w:r w:rsidR="0036369C" w:rsidRPr="00927899">
        <w:rPr>
          <w:sz w:val="28"/>
          <w:szCs w:val="28"/>
        </w:rPr>
        <w:instrText xml:space="preserve">" </w:instrText>
      </w:r>
      <w:r w:rsidR="004A63EC" w:rsidRPr="00927899">
        <w:rPr>
          <w:b/>
          <w:bCs/>
          <w:sz w:val="28"/>
          <w:szCs w:val="28"/>
        </w:rPr>
        <w:fldChar w:fldCharType="end"/>
      </w:r>
    </w:p>
    <w:p w:rsidR="00592938" w:rsidRPr="002703D2" w:rsidRDefault="00937659" w:rsidP="00960218">
      <w:pPr>
        <w:autoSpaceDE w:val="0"/>
        <w:autoSpaceDN w:val="0"/>
        <w:adjustRightInd w:val="0"/>
        <w:spacing w:after="0" w:line="240" w:lineRule="auto"/>
        <w:jc w:val="both"/>
        <w:rPr>
          <w:rFonts w:cs="DecimaWE"/>
          <w:color w:val="000000"/>
          <w:sz w:val="24"/>
          <w:szCs w:val="24"/>
        </w:rPr>
      </w:pPr>
      <w:r w:rsidRPr="002703D2">
        <w:rPr>
          <w:rFonts w:cs="DecimaWE"/>
          <w:color w:val="000000"/>
          <w:sz w:val="24"/>
          <w:szCs w:val="24"/>
        </w:rPr>
        <w:t>Il processo di programmazione e controllo delle aziende sanitarie del Friuli Venezia Giulia è disciplinato dalla L.R. 49/1996 “Norme in materia di programmazione, contabilità e controllo del Servizio sanitario regionale e disposizioni urgenti per l'integrazione socio-sanitaria</w:t>
      </w:r>
      <w:r w:rsidR="009131A5">
        <w:rPr>
          <w:rFonts w:cs="DecimaWE"/>
          <w:color w:val="000000"/>
          <w:sz w:val="24"/>
          <w:szCs w:val="24"/>
        </w:rPr>
        <w:t xml:space="preserve">” </w:t>
      </w:r>
      <w:r w:rsidR="00592938" w:rsidRPr="002703D2">
        <w:rPr>
          <w:rFonts w:cs="DecimaWE"/>
          <w:color w:val="000000"/>
          <w:sz w:val="24"/>
          <w:szCs w:val="24"/>
        </w:rPr>
        <w:t xml:space="preserve">e </w:t>
      </w:r>
      <w:r w:rsidR="00C83251" w:rsidRPr="002703D2">
        <w:rPr>
          <w:rFonts w:cs="DecimaWE"/>
          <w:color w:val="000000"/>
          <w:sz w:val="24"/>
          <w:szCs w:val="24"/>
        </w:rPr>
        <w:t>dalla L.R. 23/2004</w:t>
      </w:r>
      <w:r w:rsidR="00F71699" w:rsidRPr="002703D2">
        <w:rPr>
          <w:rFonts w:cs="DecimaWE"/>
          <w:color w:val="000000"/>
          <w:sz w:val="24"/>
          <w:szCs w:val="24"/>
        </w:rPr>
        <w:t xml:space="preserve"> “Disposizioni sulla partecipazione degli enti locali ai processi programmatori e di verifica in materia sanitaria, sociale e sociosanitaria e disciplina dei relativi strumenti di programmazione, nonché altre disposizioni urgenti in materia sanitaria e sociale.”</w:t>
      </w:r>
      <w:r w:rsidR="00C83251" w:rsidRPr="002703D2">
        <w:rPr>
          <w:rFonts w:cs="DecimaWE"/>
          <w:color w:val="000000"/>
          <w:sz w:val="24"/>
          <w:szCs w:val="24"/>
        </w:rPr>
        <w:t xml:space="preserve"> ed è articolato nelle seguenti fasi:</w:t>
      </w:r>
    </w:p>
    <w:p w:rsidR="00592938" w:rsidRPr="002703D2" w:rsidRDefault="00592938" w:rsidP="009602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03D2">
        <w:rPr>
          <w:sz w:val="24"/>
          <w:szCs w:val="24"/>
        </w:rPr>
        <w:t>programmazione triennale</w:t>
      </w:r>
      <w:r w:rsidR="009131A5">
        <w:rPr>
          <w:sz w:val="24"/>
          <w:szCs w:val="24"/>
        </w:rPr>
        <w:t xml:space="preserve"> e annuale</w:t>
      </w:r>
    </w:p>
    <w:p w:rsidR="00062BAB" w:rsidRPr="002703D2" w:rsidRDefault="00062BAB" w:rsidP="009602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03D2">
        <w:rPr>
          <w:sz w:val="24"/>
          <w:szCs w:val="24"/>
        </w:rPr>
        <w:t>c</w:t>
      </w:r>
      <w:r w:rsidR="00396658">
        <w:rPr>
          <w:sz w:val="24"/>
          <w:szCs w:val="24"/>
        </w:rPr>
        <w:t>ontrollo trimestrale ed annuale</w:t>
      </w:r>
    </w:p>
    <w:p w:rsidR="00592938" w:rsidRDefault="00592938" w:rsidP="009602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703D2">
        <w:rPr>
          <w:sz w:val="24"/>
          <w:szCs w:val="24"/>
        </w:rPr>
        <w:t>gestione per budget</w:t>
      </w:r>
      <w:r w:rsidR="002703D2" w:rsidRPr="002703D2">
        <w:rPr>
          <w:sz w:val="24"/>
          <w:szCs w:val="24"/>
        </w:rPr>
        <w:t>.</w:t>
      </w:r>
    </w:p>
    <w:p w:rsidR="00066F35" w:rsidRDefault="00066F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62BAB" w:rsidRPr="00927899" w:rsidRDefault="00927899" w:rsidP="00316D74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</w:t>
      </w:r>
      <w:r w:rsidR="00062BAB" w:rsidRPr="00927899">
        <w:rPr>
          <w:b/>
          <w:sz w:val="28"/>
          <w:szCs w:val="28"/>
        </w:rPr>
        <w:t>Programmazione triennale</w:t>
      </w:r>
      <w:r w:rsidR="00992E66" w:rsidRPr="00927899">
        <w:rPr>
          <w:b/>
          <w:sz w:val="28"/>
          <w:szCs w:val="28"/>
        </w:rPr>
        <w:t xml:space="preserve"> e annuale</w:t>
      </w:r>
      <w:r w:rsidR="004A63EC" w:rsidRPr="00927899">
        <w:rPr>
          <w:b/>
          <w:sz w:val="28"/>
          <w:szCs w:val="28"/>
        </w:rPr>
        <w:fldChar w:fldCharType="begin"/>
      </w:r>
      <w:r w:rsidR="0036369C" w:rsidRPr="00927899">
        <w:rPr>
          <w:sz w:val="28"/>
          <w:szCs w:val="28"/>
        </w:rPr>
        <w:instrText xml:space="preserve"> XE "</w:instrText>
      </w:r>
      <w:r w:rsidR="0036369C" w:rsidRPr="00927899">
        <w:rPr>
          <w:b/>
          <w:sz w:val="28"/>
          <w:szCs w:val="28"/>
        </w:rPr>
        <w:instrText>3 Programmazione triennale e annuale</w:instrText>
      </w:r>
      <w:r w:rsidR="0036369C" w:rsidRPr="00927899">
        <w:rPr>
          <w:sz w:val="28"/>
          <w:szCs w:val="28"/>
        </w:rPr>
        <w:instrText xml:space="preserve">" </w:instrText>
      </w:r>
      <w:r w:rsidR="004A63EC" w:rsidRPr="00927899">
        <w:rPr>
          <w:b/>
          <w:sz w:val="28"/>
          <w:szCs w:val="28"/>
        </w:rPr>
        <w:fldChar w:fldCharType="end"/>
      </w:r>
    </w:p>
    <w:p w:rsidR="00062BAB" w:rsidRPr="002703D2" w:rsidRDefault="00062BAB" w:rsidP="00062BAB">
      <w:pPr>
        <w:pStyle w:val="Paragrafoelenco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C83251" w:rsidRPr="009951C8" w:rsidRDefault="00C83251" w:rsidP="00C83251">
      <w:pPr>
        <w:autoSpaceDE w:val="0"/>
        <w:autoSpaceDN w:val="0"/>
        <w:adjustRightInd w:val="0"/>
        <w:spacing w:after="0" w:line="240" w:lineRule="auto"/>
        <w:jc w:val="both"/>
        <w:rPr>
          <w:rFonts w:cs="DecimaWE"/>
          <w:color w:val="000000"/>
          <w:sz w:val="24"/>
          <w:szCs w:val="24"/>
        </w:rPr>
      </w:pPr>
      <w:r w:rsidRPr="009951C8">
        <w:rPr>
          <w:rFonts w:cs="DecimaWE"/>
          <w:color w:val="000000"/>
          <w:sz w:val="24"/>
          <w:szCs w:val="24"/>
        </w:rPr>
        <w:t xml:space="preserve">La </w:t>
      </w:r>
      <w:r w:rsidR="009131A5">
        <w:rPr>
          <w:rFonts w:cs="DecimaWE"/>
          <w:color w:val="000000"/>
          <w:sz w:val="24"/>
          <w:szCs w:val="24"/>
        </w:rPr>
        <w:t>programmazione del 2013 si è inserita in un contesto economico e normativo condizionato</w:t>
      </w:r>
      <w:r w:rsidRPr="009951C8">
        <w:rPr>
          <w:rFonts w:cs="DecimaWE"/>
          <w:color w:val="000000"/>
          <w:sz w:val="24"/>
          <w:szCs w:val="24"/>
        </w:rPr>
        <w:t xml:space="preserve">: </w:t>
      </w:r>
    </w:p>
    <w:p w:rsidR="00C83251" w:rsidRPr="009951C8" w:rsidRDefault="00C83251" w:rsidP="00C83251">
      <w:pPr>
        <w:autoSpaceDE w:val="0"/>
        <w:autoSpaceDN w:val="0"/>
        <w:adjustRightInd w:val="0"/>
        <w:spacing w:after="0" w:line="240" w:lineRule="auto"/>
        <w:ind w:left="780" w:hanging="360"/>
        <w:jc w:val="both"/>
        <w:rPr>
          <w:rFonts w:cs="DecimaWE"/>
          <w:color w:val="000000"/>
          <w:sz w:val="24"/>
          <w:szCs w:val="24"/>
        </w:rPr>
      </w:pPr>
      <w:r w:rsidRPr="009951C8">
        <w:rPr>
          <w:rFonts w:cs="DecimaWE"/>
          <w:color w:val="000000"/>
          <w:sz w:val="24"/>
          <w:szCs w:val="24"/>
        </w:rPr>
        <w:t xml:space="preserve">b) dalla presenza di norme nazionali </w:t>
      </w:r>
      <w:r w:rsidR="00396658" w:rsidRPr="009951C8">
        <w:rPr>
          <w:rFonts w:cs="DecimaWE"/>
          <w:color w:val="000000"/>
          <w:sz w:val="24"/>
          <w:szCs w:val="24"/>
        </w:rPr>
        <w:t xml:space="preserve">vincolanti per la Regione e per le Aziende </w:t>
      </w:r>
      <w:r w:rsidRPr="009951C8">
        <w:rPr>
          <w:rFonts w:cs="DecimaWE"/>
          <w:color w:val="000000"/>
          <w:sz w:val="24"/>
          <w:szCs w:val="24"/>
        </w:rPr>
        <w:t>(DL 6-7-2012 n.95 convertito con Legge n. 135 del 7-8-2012 “Spending rewiew”, DL 13-9-2012 n. 158 “Decreto Balduzzi”, convertito con legge n. 189 del 8/11/2012, DL 18-10-2012, n. 179 “Ulteriori misure urgenti per la crescita del Paese” e altro)</w:t>
      </w:r>
      <w:r w:rsidR="00713D3E">
        <w:rPr>
          <w:rFonts w:cs="DecimaWE"/>
          <w:color w:val="000000"/>
          <w:sz w:val="24"/>
          <w:szCs w:val="24"/>
        </w:rPr>
        <w:t>;</w:t>
      </w:r>
    </w:p>
    <w:p w:rsidR="00C83251" w:rsidRPr="009951C8" w:rsidRDefault="00C83251" w:rsidP="00C83251">
      <w:pPr>
        <w:autoSpaceDE w:val="0"/>
        <w:autoSpaceDN w:val="0"/>
        <w:adjustRightInd w:val="0"/>
        <w:spacing w:after="0" w:line="240" w:lineRule="auto"/>
        <w:ind w:left="780" w:hanging="360"/>
        <w:jc w:val="both"/>
        <w:rPr>
          <w:rFonts w:cs="DecimaWE"/>
          <w:color w:val="000000"/>
          <w:sz w:val="24"/>
          <w:szCs w:val="24"/>
        </w:rPr>
      </w:pPr>
      <w:r w:rsidRPr="009951C8">
        <w:rPr>
          <w:rFonts w:cs="DecimaWE"/>
          <w:color w:val="000000"/>
          <w:sz w:val="24"/>
          <w:szCs w:val="24"/>
        </w:rPr>
        <w:t>c) dalla scadenza del Piano sociosanitario Regionale PSSR 2010-12 (DGR n. 465 del 11-03-2010) e del Piano per la prevenzione (DGR n 2757 del 29-12-2010)</w:t>
      </w:r>
      <w:r w:rsidR="009131A5">
        <w:rPr>
          <w:rFonts w:cs="DecimaWE"/>
          <w:color w:val="000000"/>
          <w:sz w:val="24"/>
          <w:szCs w:val="24"/>
        </w:rPr>
        <w:t>, che in presenza di un quadro normativo in evoluzione sono stati prorogati anche per il 2013</w:t>
      </w:r>
      <w:r w:rsidR="00713D3E">
        <w:rPr>
          <w:rFonts w:cs="DecimaWE"/>
          <w:color w:val="000000"/>
          <w:sz w:val="24"/>
          <w:szCs w:val="24"/>
        </w:rPr>
        <w:t>;</w:t>
      </w:r>
    </w:p>
    <w:p w:rsidR="00C83251" w:rsidRPr="009951C8" w:rsidRDefault="00C83251" w:rsidP="00C83251">
      <w:pPr>
        <w:autoSpaceDE w:val="0"/>
        <w:autoSpaceDN w:val="0"/>
        <w:adjustRightInd w:val="0"/>
        <w:spacing w:after="0" w:line="240" w:lineRule="auto"/>
        <w:ind w:left="780" w:hanging="360"/>
        <w:jc w:val="both"/>
        <w:rPr>
          <w:rFonts w:cs="DecimaWE"/>
          <w:color w:val="000000"/>
          <w:sz w:val="24"/>
          <w:szCs w:val="24"/>
        </w:rPr>
      </w:pPr>
      <w:r w:rsidRPr="009951C8">
        <w:rPr>
          <w:rFonts w:cs="DecimaWE"/>
          <w:color w:val="000000"/>
          <w:sz w:val="24"/>
          <w:szCs w:val="24"/>
        </w:rPr>
        <w:t xml:space="preserve">d) dalla crisi economica e relativa riduzione delle disponibilità economiche della Regione. </w:t>
      </w:r>
    </w:p>
    <w:p w:rsidR="00C83251" w:rsidRPr="002703D2" w:rsidRDefault="00C83251" w:rsidP="00C8325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C83251" w:rsidRPr="009951C8" w:rsidRDefault="00C83251" w:rsidP="00C83251">
      <w:pPr>
        <w:pStyle w:val="Default"/>
        <w:jc w:val="both"/>
        <w:rPr>
          <w:rFonts w:asciiTheme="minorHAnsi" w:hAnsiTheme="minorHAnsi"/>
        </w:rPr>
      </w:pPr>
      <w:r w:rsidRPr="009951C8">
        <w:rPr>
          <w:rFonts w:asciiTheme="minorHAnsi" w:hAnsiTheme="minorHAnsi"/>
        </w:rPr>
        <w:t>A fronte delle situazioni soprad</w:t>
      </w:r>
      <w:r w:rsidR="00960218" w:rsidRPr="009951C8">
        <w:rPr>
          <w:rFonts w:asciiTheme="minorHAnsi" w:hAnsiTheme="minorHAnsi"/>
        </w:rPr>
        <w:t>escritte, le indicazioni della R</w:t>
      </w:r>
      <w:r w:rsidRPr="009951C8">
        <w:rPr>
          <w:rFonts w:asciiTheme="minorHAnsi" w:hAnsiTheme="minorHAnsi"/>
        </w:rPr>
        <w:t>egione in tema di programmazione delle Aziende e degli Enti Sanitari per l’anno 2013 sono</w:t>
      </w:r>
      <w:r w:rsidR="00713D3E">
        <w:rPr>
          <w:rFonts w:asciiTheme="minorHAnsi" w:hAnsiTheme="minorHAnsi"/>
        </w:rPr>
        <w:t xml:space="preserve"> state</w:t>
      </w:r>
      <w:r w:rsidRPr="009951C8">
        <w:rPr>
          <w:rFonts w:asciiTheme="minorHAnsi" w:hAnsiTheme="minorHAnsi"/>
        </w:rPr>
        <w:t xml:space="preserve">: </w:t>
      </w:r>
    </w:p>
    <w:p w:rsidR="00C83251" w:rsidRPr="009951C8" w:rsidRDefault="00713D3E" w:rsidP="00C83251">
      <w:pPr>
        <w:pStyle w:val="Default"/>
        <w:ind w:left="420" w:hanging="1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2703D2">
        <w:rPr>
          <w:rFonts w:asciiTheme="minorHAnsi" w:hAnsiTheme="minorHAnsi"/>
        </w:rPr>
        <w:t xml:space="preserve">il </w:t>
      </w:r>
      <w:r>
        <w:rPr>
          <w:rFonts w:asciiTheme="minorHAnsi" w:hAnsiTheme="minorHAnsi"/>
        </w:rPr>
        <w:t>s</w:t>
      </w:r>
      <w:r w:rsidR="00C83251" w:rsidRPr="009951C8">
        <w:rPr>
          <w:rFonts w:asciiTheme="minorHAnsi" w:hAnsiTheme="minorHAnsi"/>
        </w:rPr>
        <w:t xml:space="preserve">ostanziale mantenimento dei livelli di assistenza </w:t>
      </w:r>
      <w:r w:rsidR="009131A5">
        <w:rPr>
          <w:rFonts w:asciiTheme="minorHAnsi" w:hAnsiTheme="minorHAnsi"/>
        </w:rPr>
        <w:t>del 2012 in termini di prestazioni sanitarie erogate;</w:t>
      </w:r>
      <w:r w:rsidR="00C83251" w:rsidRPr="009951C8">
        <w:rPr>
          <w:rFonts w:asciiTheme="minorHAnsi" w:hAnsiTheme="minorHAnsi"/>
        </w:rPr>
        <w:t xml:space="preserve"> </w:t>
      </w:r>
    </w:p>
    <w:p w:rsidR="00C83251" w:rsidRPr="009951C8" w:rsidRDefault="00C83251" w:rsidP="00C83251">
      <w:pPr>
        <w:pStyle w:val="Default"/>
        <w:ind w:left="420" w:hanging="140"/>
        <w:jc w:val="both"/>
        <w:rPr>
          <w:rFonts w:asciiTheme="minorHAnsi" w:hAnsiTheme="minorHAnsi"/>
        </w:rPr>
      </w:pPr>
      <w:r w:rsidRPr="009951C8">
        <w:rPr>
          <w:rFonts w:asciiTheme="minorHAnsi" w:hAnsiTheme="minorHAnsi"/>
        </w:rPr>
        <w:t xml:space="preserve">- </w:t>
      </w:r>
      <w:r w:rsidR="002703D2">
        <w:rPr>
          <w:rFonts w:asciiTheme="minorHAnsi" w:hAnsiTheme="minorHAnsi"/>
        </w:rPr>
        <w:t>l’</w:t>
      </w:r>
      <w:r w:rsidR="00713D3E">
        <w:rPr>
          <w:rFonts w:asciiTheme="minorHAnsi" w:hAnsiTheme="minorHAnsi"/>
        </w:rPr>
        <w:t>a</w:t>
      </w:r>
      <w:r w:rsidRPr="009951C8">
        <w:rPr>
          <w:rFonts w:asciiTheme="minorHAnsi" w:hAnsiTheme="minorHAnsi"/>
        </w:rPr>
        <w:t>ttuazione di alcune linee progettuali orientate al miglioramento della qualità delle prestazioni e degli interventi sanitari</w:t>
      </w:r>
      <w:r w:rsidR="009131A5">
        <w:rPr>
          <w:rFonts w:asciiTheme="minorHAnsi" w:hAnsiTheme="minorHAnsi"/>
        </w:rPr>
        <w:t xml:space="preserve"> erogati;</w:t>
      </w:r>
      <w:r w:rsidRPr="009951C8">
        <w:rPr>
          <w:rFonts w:asciiTheme="minorHAnsi" w:hAnsiTheme="minorHAnsi"/>
        </w:rPr>
        <w:t xml:space="preserve"> </w:t>
      </w:r>
    </w:p>
    <w:p w:rsidR="00C83251" w:rsidRDefault="00713D3E" w:rsidP="00C83251">
      <w:pPr>
        <w:pStyle w:val="Default"/>
        <w:ind w:left="420" w:hanging="1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2703D2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>p</w:t>
      </w:r>
      <w:r w:rsidR="00C83251" w:rsidRPr="009951C8">
        <w:rPr>
          <w:rFonts w:asciiTheme="minorHAnsi" w:hAnsiTheme="minorHAnsi"/>
        </w:rPr>
        <w:t>resenza di progetti di miglioramento gestionale</w:t>
      </w:r>
      <w:r w:rsidR="009131A5">
        <w:rPr>
          <w:rFonts w:asciiTheme="minorHAnsi" w:hAnsiTheme="minorHAnsi"/>
        </w:rPr>
        <w:t>.</w:t>
      </w:r>
    </w:p>
    <w:p w:rsidR="009131A5" w:rsidRPr="009951C8" w:rsidRDefault="009131A5" w:rsidP="009131A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L’area vasta, anche per il 2013, è stata lo strumento fondamentale per l’attuazione della pianificazione del Servizio Sanitario Regionale.</w:t>
      </w:r>
    </w:p>
    <w:p w:rsidR="001604DD" w:rsidRPr="009951C8" w:rsidRDefault="001604DD" w:rsidP="009951C8">
      <w:pPr>
        <w:autoSpaceDE w:val="0"/>
        <w:autoSpaceDN w:val="0"/>
        <w:adjustRightInd w:val="0"/>
        <w:spacing w:after="0" w:line="240" w:lineRule="auto"/>
        <w:jc w:val="both"/>
        <w:rPr>
          <w:rFonts w:cs="DecimaWE"/>
          <w:color w:val="000000"/>
          <w:sz w:val="24"/>
          <w:szCs w:val="24"/>
        </w:rPr>
      </w:pPr>
      <w:r w:rsidRPr="009951C8">
        <w:rPr>
          <w:rFonts w:cs="DecimaWE"/>
          <w:color w:val="000000"/>
          <w:sz w:val="24"/>
          <w:szCs w:val="24"/>
        </w:rPr>
        <w:t>Il percorso di predisposizione del programma aziendale 2013, cosi come specificato dalle</w:t>
      </w:r>
      <w:r w:rsidR="009951C8" w:rsidRPr="009951C8">
        <w:rPr>
          <w:rFonts w:cs="DecimaWE"/>
          <w:color w:val="000000"/>
          <w:sz w:val="24"/>
          <w:szCs w:val="24"/>
        </w:rPr>
        <w:t xml:space="preserve"> </w:t>
      </w:r>
      <w:r w:rsidR="00CE58E9">
        <w:rPr>
          <w:rFonts w:cs="DecimaWE"/>
          <w:color w:val="000000"/>
          <w:sz w:val="24"/>
          <w:szCs w:val="24"/>
        </w:rPr>
        <w:t>l</w:t>
      </w:r>
      <w:r w:rsidRPr="009951C8">
        <w:rPr>
          <w:rFonts w:cs="DecimaWE"/>
          <w:color w:val="000000"/>
          <w:sz w:val="24"/>
          <w:szCs w:val="24"/>
        </w:rPr>
        <w:t xml:space="preserve">inee, si </w:t>
      </w:r>
      <w:r w:rsidR="009951C8" w:rsidRPr="009951C8">
        <w:rPr>
          <w:rFonts w:cs="DecimaWE"/>
          <w:color w:val="000000"/>
          <w:sz w:val="24"/>
          <w:szCs w:val="24"/>
        </w:rPr>
        <w:t>è</w:t>
      </w:r>
      <w:r w:rsidRPr="009951C8">
        <w:rPr>
          <w:rFonts w:cs="DecimaWE"/>
          <w:color w:val="000000"/>
          <w:sz w:val="24"/>
          <w:szCs w:val="24"/>
        </w:rPr>
        <w:t xml:space="preserve"> realizzato attraverso la seguente sequenza:</w:t>
      </w:r>
    </w:p>
    <w:p w:rsidR="00937659" w:rsidRPr="009951C8" w:rsidRDefault="00713D3E" w:rsidP="009951C8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>a</w:t>
      </w:r>
      <w:r w:rsidR="00937659" w:rsidRPr="009951C8">
        <w:rPr>
          <w:rFonts w:asciiTheme="minorHAnsi" w:hAnsiTheme="minorHAnsi"/>
        </w:rPr>
        <w:t xml:space="preserve">pprovazione,da parte della Giunta Regionale della proposta di </w:t>
      </w:r>
      <w:r w:rsidR="00CE58E9">
        <w:rPr>
          <w:rFonts w:asciiTheme="minorHAnsi" w:hAnsiTheme="minorHAnsi"/>
        </w:rPr>
        <w:t>l</w:t>
      </w:r>
      <w:r w:rsidR="00937659" w:rsidRPr="009951C8">
        <w:rPr>
          <w:rFonts w:asciiTheme="minorHAnsi" w:hAnsiTheme="minorHAnsi"/>
        </w:rPr>
        <w:t xml:space="preserve">inee per la gestione del SSR. </w:t>
      </w:r>
      <w:r w:rsidR="00937659" w:rsidRPr="009951C8">
        <w:rPr>
          <w:rFonts w:asciiTheme="minorHAnsi" w:hAnsiTheme="minorHAnsi"/>
          <w:color w:val="auto"/>
        </w:rPr>
        <w:t>Questo documento annuale definisce importanti aspetti della programmazione tra cui le progettuali</w:t>
      </w:r>
      <w:r w:rsidR="00396658">
        <w:rPr>
          <w:rFonts w:asciiTheme="minorHAnsi" w:hAnsiTheme="minorHAnsi"/>
          <w:color w:val="auto"/>
        </w:rPr>
        <w:t>tà</w:t>
      </w:r>
      <w:r w:rsidR="00937659" w:rsidRPr="009951C8">
        <w:rPr>
          <w:rFonts w:asciiTheme="minorHAnsi" w:hAnsiTheme="minorHAnsi"/>
          <w:color w:val="auto"/>
        </w:rPr>
        <w:t xml:space="preserve"> annuali e le risorse</w:t>
      </w:r>
      <w:r w:rsidR="007B7AF5" w:rsidRPr="009951C8">
        <w:rPr>
          <w:rFonts w:asciiTheme="minorHAnsi" w:hAnsiTheme="minorHAnsi"/>
          <w:color w:val="auto"/>
        </w:rPr>
        <w:t xml:space="preserve"> (</w:t>
      </w:r>
      <w:r w:rsidR="00A976B5" w:rsidRPr="009951C8">
        <w:rPr>
          <w:rFonts w:asciiTheme="minorHAnsi" w:hAnsiTheme="minorHAnsi"/>
          <w:color w:val="auto"/>
        </w:rPr>
        <w:t xml:space="preserve">DGR </w:t>
      </w:r>
      <w:r w:rsidR="0054684F" w:rsidRPr="009951C8">
        <w:rPr>
          <w:rFonts w:asciiTheme="minorHAnsi" w:hAnsiTheme="minorHAnsi"/>
          <w:color w:val="auto"/>
        </w:rPr>
        <w:t>2016 21.11.2014)</w:t>
      </w:r>
      <w:r w:rsidR="00937659" w:rsidRPr="009951C8">
        <w:rPr>
          <w:rFonts w:asciiTheme="minorHAnsi" w:hAnsiTheme="minorHAnsi"/>
          <w:color w:val="auto"/>
        </w:rPr>
        <w:t>;</w:t>
      </w:r>
    </w:p>
    <w:p w:rsidR="00937659" w:rsidRDefault="00713D3E" w:rsidP="009951C8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937659" w:rsidRPr="009951C8">
        <w:rPr>
          <w:rFonts w:asciiTheme="minorHAnsi" w:hAnsiTheme="minorHAnsi"/>
        </w:rPr>
        <w:t xml:space="preserve">redisposizione e invio alle Aziende, da parte della </w:t>
      </w:r>
      <w:r w:rsidR="00396658" w:rsidRPr="00396658">
        <w:rPr>
          <w:rFonts w:asciiTheme="minorHAnsi" w:hAnsiTheme="minorHAnsi"/>
        </w:rPr>
        <w:t>Direzione centrale salute, integrazione sociosanitaria, politiche sociali e famiglia</w:t>
      </w:r>
      <w:r w:rsidR="00396658">
        <w:rPr>
          <w:rFonts w:asciiTheme="minorHAnsi" w:hAnsiTheme="minorHAnsi"/>
        </w:rPr>
        <w:t xml:space="preserve"> (DCSISSPSF)</w:t>
      </w:r>
      <w:r w:rsidR="00937659" w:rsidRPr="009951C8">
        <w:rPr>
          <w:rFonts w:asciiTheme="minorHAnsi" w:hAnsiTheme="minorHAnsi"/>
        </w:rPr>
        <w:t>, di apposite indicazioni metodologiche a supporto della redazione dei PAL/PAO</w:t>
      </w:r>
      <w:r w:rsidR="00353204">
        <w:rPr>
          <w:rFonts w:asciiTheme="minorHAnsi" w:hAnsiTheme="minorHAnsi"/>
        </w:rPr>
        <w:t xml:space="preserve"> </w:t>
      </w:r>
      <w:r w:rsidR="0054684F" w:rsidRPr="009951C8">
        <w:rPr>
          <w:rFonts w:asciiTheme="minorHAnsi" w:hAnsiTheme="minorHAnsi"/>
        </w:rPr>
        <w:t>(</w:t>
      </w:r>
      <w:r>
        <w:rPr>
          <w:rFonts w:asciiTheme="minorHAnsi" w:hAnsiTheme="minorHAnsi"/>
        </w:rPr>
        <w:t>nota prot. n. 20619/SPS/APA del 04.12.2013);</w:t>
      </w:r>
    </w:p>
    <w:p w:rsidR="00AF0B48" w:rsidRPr="009951C8" w:rsidRDefault="00AF0B48" w:rsidP="00AF0B48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elaborazione</w:t>
      </w:r>
      <w:r w:rsidRPr="009951C8">
        <w:rPr>
          <w:rFonts w:asciiTheme="minorHAnsi" w:hAnsiTheme="minorHAnsi"/>
        </w:rPr>
        <w:t xml:space="preserve"> da parte delle Aziende della proposta di PAL/PAO 2013 </w:t>
      </w:r>
      <w:r>
        <w:rPr>
          <w:rFonts w:asciiTheme="minorHAnsi" w:hAnsiTheme="minorHAnsi"/>
        </w:rPr>
        <w:t xml:space="preserve">e trasmissione della stessa alla </w:t>
      </w:r>
      <w:r w:rsidR="00396658">
        <w:rPr>
          <w:rFonts w:asciiTheme="minorHAnsi" w:hAnsiTheme="minorHAnsi"/>
        </w:rPr>
        <w:t>DCSISSPSF</w:t>
      </w:r>
      <w:r w:rsidR="00396658" w:rsidRPr="009951C8">
        <w:rPr>
          <w:rFonts w:asciiTheme="minorHAnsi" w:hAnsiTheme="minorHAnsi"/>
        </w:rPr>
        <w:t xml:space="preserve"> </w:t>
      </w:r>
      <w:r w:rsidRPr="009951C8">
        <w:rPr>
          <w:rFonts w:asciiTheme="minorHAnsi" w:hAnsiTheme="minorHAnsi"/>
        </w:rPr>
        <w:t>(prot.</w:t>
      </w:r>
      <w:r w:rsidR="00353204">
        <w:rPr>
          <w:rFonts w:asciiTheme="minorHAnsi" w:hAnsiTheme="minorHAnsi"/>
        </w:rPr>
        <w:t xml:space="preserve"> CRO n.</w:t>
      </w:r>
      <w:r w:rsidRPr="009951C8">
        <w:rPr>
          <w:rFonts w:asciiTheme="minorHAnsi" w:hAnsiTheme="minorHAnsi"/>
        </w:rPr>
        <w:t xml:space="preserve"> 19082/DG del 10.12.2012)</w:t>
      </w:r>
      <w:r>
        <w:rPr>
          <w:rFonts w:asciiTheme="minorHAnsi" w:hAnsiTheme="minorHAnsi"/>
        </w:rPr>
        <w:t>;</w:t>
      </w:r>
    </w:p>
    <w:p w:rsidR="00937659" w:rsidRPr="009951C8" w:rsidRDefault="00713D3E" w:rsidP="009951C8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937659" w:rsidRPr="009951C8">
        <w:rPr>
          <w:rFonts w:asciiTheme="minorHAnsi" w:hAnsiTheme="minorHAnsi"/>
        </w:rPr>
        <w:t>pprovazione definitiva de</w:t>
      </w:r>
      <w:r w:rsidR="00396658">
        <w:rPr>
          <w:rFonts w:asciiTheme="minorHAnsi" w:hAnsiTheme="minorHAnsi"/>
        </w:rPr>
        <w:t>lle l</w:t>
      </w:r>
      <w:r w:rsidR="00937659" w:rsidRPr="009951C8">
        <w:rPr>
          <w:rFonts w:asciiTheme="minorHAnsi" w:hAnsiTheme="minorHAnsi"/>
        </w:rPr>
        <w:t xml:space="preserve">inee da parte della Giunta </w:t>
      </w:r>
      <w:r>
        <w:rPr>
          <w:rFonts w:asciiTheme="minorHAnsi" w:hAnsiTheme="minorHAnsi"/>
        </w:rPr>
        <w:t>(DGR 2271 del 21 dicembre 2012</w:t>
      </w:r>
      <w:r w:rsidR="0054684F" w:rsidRPr="009951C8">
        <w:rPr>
          <w:rFonts w:asciiTheme="minorHAnsi" w:hAnsiTheme="minorHAnsi"/>
        </w:rPr>
        <w:t>)</w:t>
      </w:r>
      <w:r w:rsidR="00353204">
        <w:rPr>
          <w:rFonts w:asciiTheme="minorHAnsi" w:hAnsiTheme="minorHAnsi"/>
        </w:rPr>
        <w:t>;</w:t>
      </w:r>
    </w:p>
    <w:p w:rsidR="001604DD" w:rsidRPr="009951C8" w:rsidRDefault="00AF0B48" w:rsidP="009951C8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1604DD" w:rsidRPr="009951C8">
        <w:rPr>
          <w:rFonts w:asciiTheme="minorHAnsi" w:hAnsiTheme="minorHAnsi"/>
        </w:rPr>
        <w:t>egoziazioni</w:t>
      </w:r>
      <w:r w:rsidR="001604DD" w:rsidRPr="009951C8">
        <w:rPr>
          <w:rFonts w:asciiTheme="minorHAnsi" w:eastAsia="DecimaWERg" w:hAnsiTheme="minorHAnsi" w:cs="DecimaWERg"/>
        </w:rPr>
        <w:t xml:space="preserve"> della </w:t>
      </w:r>
      <w:r w:rsidR="00396658">
        <w:rPr>
          <w:rFonts w:asciiTheme="minorHAnsi" w:hAnsiTheme="minorHAnsi"/>
        </w:rPr>
        <w:t>DCSISSPSF</w:t>
      </w:r>
      <w:r w:rsidR="001604DD" w:rsidRPr="009951C8">
        <w:rPr>
          <w:rFonts w:asciiTheme="minorHAnsi" w:eastAsia="DecimaWERg" w:hAnsiTheme="minorHAnsi" w:cs="DecimaWERg"/>
        </w:rPr>
        <w:t xml:space="preserve"> con le Aziende</w:t>
      </w:r>
      <w:r>
        <w:rPr>
          <w:rFonts w:asciiTheme="minorHAnsi" w:eastAsia="DecimaWERg" w:hAnsiTheme="minorHAnsi" w:cs="DecimaWERg"/>
        </w:rPr>
        <w:t xml:space="preserve"> delle varie </w:t>
      </w:r>
      <w:r w:rsidR="00396658">
        <w:rPr>
          <w:rFonts w:asciiTheme="minorHAnsi" w:eastAsia="DecimaWERg" w:hAnsiTheme="minorHAnsi" w:cs="DecimaWERg"/>
        </w:rPr>
        <w:t>aree v</w:t>
      </w:r>
      <w:r>
        <w:rPr>
          <w:rFonts w:asciiTheme="minorHAnsi" w:eastAsia="DecimaWERg" w:hAnsiTheme="minorHAnsi" w:cs="DecimaWERg"/>
        </w:rPr>
        <w:t>aste</w:t>
      </w:r>
      <w:r w:rsidR="001604DD" w:rsidRPr="009951C8">
        <w:rPr>
          <w:rFonts w:asciiTheme="minorHAnsi" w:eastAsia="DecimaWERg" w:hAnsiTheme="minorHAnsi" w:cs="DecimaWERg"/>
        </w:rPr>
        <w:t>, aventi ad ogget</w:t>
      </w:r>
      <w:r>
        <w:rPr>
          <w:rFonts w:asciiTheme="minorHAnsi" w:eastAsia="DecimaWERg" w:hAnsiTheme="minorHAnsi" w:cs="DecimaWERg"/>
        </w:rPr>
        <w:t xml:space="preserve">to la verifica della fattibilità tecnica, </w:t>
      </w:r>
      <w:r w:rsidR="00353204">
        <w:rPr>
          <w:rFonts w:asciiTheme="minorHAnsi" w:eastAsia="DecimaWERg" w:hAnsiTheme="minorHAnsi" w:cs="DecimaWERg"/>
        </w:rPr>
        <w:t xml:space="preserve">della </w:t>
      </w:r>
      <w:r>
        <w:rPr>
          <w:rFonts w:asciiTheme="minorHAnsi" w:eastAsia="DecimaWERg" w:hAnsiTheme="minorHAnsi" w:cs="DecimaWERg"/>
        </w:rPr>
        <w:t>sostenibilità</w:t>
      </w:r>
      <w:r w:rsidR="001604DD" w:rsidRPr="009951C8">
        <w:rPr>
          <w:rFonts w:asciiTheme="minorHAnsi" w:eastAsia="DecimaWERg" w:hAnsiTheme="minorHAnsi" w:cs="DecimaWERg"/>
        </w:rPr>
        <w:t xml:space="preserve"> economica e </w:t>
      </w:r>
      <w:r w:rsidR="00353204">
        <w:rPr>
          <w:rFonts w:asciiTheme="minorHAnsi" w:eastAsia="DecimaWERg" w:hAnsiTheme="minorHAnsi" w:cs="DecimaWERg"/>
        </w:rPr>
        <w:t xml:space="preserve">del </w:t>
      </w:r>
      <w:r w:rsidR="001604DD" w:rsidRPr="009951C8">
        <w:rPr>
          <w:rFonts w:asciiTheme="minorHAnsi" w:eastAsia="DecimaWERg" w:hAnsiTheme="minorHAnsi" w:cs="DecimaWERg"/>
        </w:rPr>
        <w:t>rispetto delle indicazioni pianificatorie regionali delle proposte di PAL/PAO presentate</w:t>
      </w:r>
      <w:r>
        <w:rPr>
          <w:rFonts w:asciiTheme="minorHAnsi" w:eastAsia="DecimaWERg" w:hAnsiTheme="minorHAnsi" w:cs="DecimaWERg"/>
        </w:rPr>
        <w:t xml:space="preserve"> (</w:t>
      </w:r>
      <w:r w:rsidR="00353204">
        <w:rPr>
          <w:rFonts w:asciiTheme="minorHAnsi" w:eastAsia="DecimaWERg" w:hAnsiTheme="minorHAnsi" w:cs="DecimaWERg"/>
        </w:rPr>
        <w:t xml:space="preserve">negoziazione dell’area vasta pordenonese </w:t>
      </w:r>
      <w:r>
        <w:rPr>
          <w:rFonts w:asciiTheme="minorHAnsi" w:eastAsia="DecimaWERg" w:hAnsiTheme="minorHAnsi" w:cs="DecimaWERg"/>
        </w:rPr>
        <w:t>in data 17.12.2012)</w:t>
      </w:r>
      <w:r w:rsidR="001604DD" w:rsidRPr="009951C8">
        <w:rPr>
          <w:rFonts w:asciiTheme="minorHAnsi" w:eastAsia="DecimaWERg" w:hAnsiTheme="minorHAnsi" w:cs="DecimaWERg"/>
        </w:rPr>
        <w:t>;</w:t>
      </w:r>
    </w:p>
    <w:p w:rsidR="00937659" w:rsidRPr="009951C8" w:rsidRDefault="00AF0B48" w:rsidP="009951C8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604DD" w:rsidRPr="009951C8">
        <w:rPr>
          <w:rFonts w:asciiTheme="minorHAnsi" w:hAnsiTheme="minorHAnsi"/>
        </w:rPr>
        <w:t xml:space="preserve">pprovazione </w:t>
      </w:r>
      <w:r w:rsidR="00937659" w:rsidRPr="009951C8">
        <w:rPr>
          <w:rFonts w:asciiTheme="minorHAnsi" w:hAnsiTheme="minorHAnsi"/>
        </w:rPr>
        <w:t>del PAL/PAO 2013</w:t>
      </w:r>
      <w:r>
        <w:rPr>
          <w:rFonts w:asciiTheme="minorHAnsi" w:hAnsiTheme="minorHAnsi"/>
        </w:rPr>
        <w:t xml:space="preserve"> (delibera</w:t>
      </w:r>
      <w:r w:rsidR="00353204">
        <w:rPr>
          <w:rFonts w:asciiTheme="minorHAnsi" w:hAnsiTheme="minorHAnsi"/>
        </w:rPr>
        <w:t>zione CRO</w:t>
      </w:r>
      <w:r>
        <w:rPr>
          <w:rFonts w:asciiTheme="minorHAnsi" w:hAnsiTheme="minorHAnsi"/>
        </w:rPr>
        <w:t xml:space="preserve"> n. 210 del 28.12.2012);</w:t>
      </w:r>
    </w:p>
    <w:p w:rsidR="00992E66" w:rsidRPr="009951C8" w:rsidRDefault="00AF0B48" w:rsidP="009951C8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604DD" w:rsidRPr="009951C8">
        <w:rPr>
          <w:rFonts w:asciiTheme="minorHAnsi" w:hAnsiTheme="minorHAnsi"/>
        </w:rPr>
        <w:t>dozione del programma ed il bilancio preventivo annuale consolidato da parte del</w:t>
      </w:r>
      <w:r w:rsidR="00937659" w:rsidRPr="009951C8">
        <w:rPr>
          <w:rFonts w:asciiTheme="minorHAnsi" w:hAnsiTheme="minorHAnsi"/>
        </w:rPr>
        <w:t>la Giunta Regionale</w:t>
      </w:r>
      <w:r w:rsidR="000E7920" w:rsidRPr="009951C8">
        <w:rPr>
          <w:rFonts w:asciiTheme="minorHAnsi" w:hAnsiTheme="minorHAnsi"/>
        </w:rPr>
        <w:t xml:space="preserve"> (DGR </w:t>
      </w:r>
      <w:r>
        <w:rPr>
          <w:rFonts w:asciiTheme="minorHAnsi" w:hAnsiTheme="minorHAnsi"/>
        </w:rPr>
        <w:t xml:space="preserve">n. </w:t>
      </w:r>
      <w:r w:rsidR="000E7920" w:rsidRPr="009951C8">
        <w:rPr>
          <w:rFonts w:asciiTheme="minorHAnsi" w:hAnsiTheme="minorHAnsi"/>
        </w:rPr>
        <w:t>1253 del 12.07.2014</w:t>
      </w:r>
      <w:r>
        <w:rPr>
          <w:rFonts w:asciiTheme="minorHAnsi" w:hAnsiTheme="minorHAnsi"/>
        </w:rPr>
        <w:t>);</w:t>
      </w:r>
    </w:p>
    <w:p w:rsidR="000E7920" w:rsidRPr="009951C8" w:rsidRDefault="00AF0B48" w:rsidP="00AF0B4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DecimaWERg,Bold"/>
          <w:b/>
          <w:bCs/>
          <w:sz w:val="24"/>
          <w:szCs w:val="24"/>
        </w:rPr>
      </w:pPr>
      <w:r>
        <w:rPr>
          <w:sz w:val="24"/>
          <w:szCs w:val="24"/>
        </w:rPr>
        <w:t>a</w:t>
      </w:r>
      <w:r w:rsidR="00992E66" w:rsidRPr="009951C8">
        <w:rPr>
          <w:sz w:val="24"/>
          <w:szCs w:val="24"/>
        </w:rPr>
        <w:t>pprovaz</w:t>
      </w:r>
      <w:r w:rsidR="000E7920" w:rsidRPr="009951C8">
        <w:rPr>
          <w:sz w:val="24"/>
          <w:szCs w:val="24"/>
        </w:rPr>
        <w:t>i</w:t>
      </w:r>
      <w:r w:rsidR="00992E66" w:rsidRPr="009951C8">
        <w:rPr>
          <w:sz w:val="24"/>
          <w:szCs w:val="24"/>
        </w:rPr>
        <w:t xml:space="preserve">one </w:t>
      </w:r>
      <w:r w:rsidR="000E7920" w:rsidRPr="009951C8">
        <w:rPr>
          <w:sz w:val="24"/>
          <w:szCs w:val="24"/>
        </w:rPr>
        <w:t>de</w:t>
      </w:r>
      <w:r w:rsidR="00353204">
        <w:rPr>
          <w:sz w:val="24"/>
          <w:szCs w:val="24"/>
        </w:rPr>
        <w:t>l</w:t>
      </w:r>
      <w:r w:rsidR="001A7087" w:rsidRPr="009951C8">
        <w:rPr>
          <w:rFonts w:cs="DecimaWE-Regular"/>
          <w:sz w:val="24"/>
          <w:szCs w:val="24"/>
        </w:rPr>
        <w:t xml:space="preserve"> Patto tra Regione e Direttori generali degli enti del servizio sanitario regionale (DGR </w:t>
      </w:r>
      <w:r>
        <w:rPr>
          <w:rFonts w:cs="DecimaWE-Regular"/>
          <w:sz w:val="24"/>
          <w:szCs w:val="24"/>
        </w:rPr>
        <w:t>n</w:t>
      </w:r>
      <w:r w:rsidR="001A7087" w:rsidRPr="009951C8">
        <w:rPr>
          <w:rFonts w:cs="DecimaWE-Regular"/>
          <w:sz w:val="24"/>
          <w:szCs w:val="24"/>
        </w:rPr>
        <w:t xml:space="preserve">. 1942 </w:t>
      </w:r>
      <w:r>
        <w:rPr>
          <w:rFonts w:cs="DecimaWE-Regular"/>
          <w:sz w:val="24"/>
          <w:szCs w:val="24"/>
        </w:rPr>
        <w:t>del</w:t>
      </w:r>
      <w:r w:rsidR="001A7087" w:rsidRPr="009951C8">
        <w:rPr>
          <w:rFonts w:cs="DecimaWE-Regular"/>
          <w:sz w:val="24"/>
          <w:szCs w:val="24"/>
        </w:rPr>
        <w:t xml:space="preserve"> 20.10.2013)</w:t>
      </w:r>
      <w:r>
        <w:rPr>
          <w:rFonts w:cs="DecimaWE-Regular"/>
          <w:sz w:val="24"/>
          <w:szCs w:val="24"/>
        </w:rPr>
        <w:t>.</w:t>
      </w:r>
      <w:r w:rsidR="000E7920" w:rsidRPr="009951C8">
        <w:rPr>
          <w:sz w:val="24"/>
          <w:szCs w:val="24"/>
        </w:rPr>
        <w:t xml:space="preserve"> </w:t>
      </w:r>
    </w:p>
    <w:p w:rsidR="00937659" w:rsidRPr="002703D2" w:rsidRDefault="00937659" w:rsidP="00E95BCF">
      <w:pPr>
        <w:pStyle w:val="Default"/>
        <w:ind w:left="420" w:hanging="140"/>
        <w:jc w:val="both"/>
        <w:rPr>
          <w:rFonts w:asciiTheme="minorHAnsi" w:hAnsiTheme="minorHAnsi"/>
          <w:sz w:val="12"/>
          <w:szCs w:val="12"/>
        </w:rPr>
      </w:pPr>
    </w:p>
    <w:p w:rsidR="00396658" w:rsidRDefault="00BD464A" w:rsidP="001A70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1A7087" w:rsidRPr="009951C8">
        <w:rPr>
          <w:sz w:val="24"/>
          <w:szCs w:val="24"/>
        </w:rPr>
        <w:t>l programma annuale</w:t>
      </w:r>
      <w:r w:rsidR="00AF0B48">
        <w:rPr>
          <w:sz w:val="24"/>
          <w:szCs w:val="24"/>
        </w:rPr>
        <w:t xml:space="preserve"> aziendale</w:t>
      </w:r>
      <w:r w:rsidR="009951C8" w:rsidRPr="009951C8">
        <w:rPr>
          <w:sz w:val="24"/>
          <w:szCs w:val="24"/>
        </w:rPr>
        <w:t xml:space="preserve"> </w:t>
      </w:r>
      <w:r w:rsidR="00AF0B48">
        <w:rPr>
          <w:sz w:val="24"/>
          <w:szCs w:val="24"/>
        </w:rPr>
        <w:t>riporta</w:t>
      </w:r>
      <w:r w:rsidR="001A7087" w:rsidRPr="009951C8">
        <w:rPr>
          <w:sz w:val="24"/>
          <w:szCs w:val="24"/>
        </w:rPr>
        <w:t xml:space="preserve"> la programmazione quali-quantitativa delle prestazioni, le linee di attività dell’area clinico-assistenziale e di ricerca e gli obiettivi afferenti alle linee progettuali indicate dalla Regione. </w:t>
      </w:r>
    </w:p>
    <w:p w:rsidR="001A7087" w:rsidRPr="009951C8" w:rsidRDefault="001A7087" w:rsidP="001A7087">
      <w:pPr>
        <w:jc w:val="both"/>
        <w:rPr>
          <w:sz w:val="24"/>
          <w:szCs w:val="24"/>
        </w:rPr>
      </w:pPr>
      <w:r w:rsidRPr="009951C8">
        <w:rPr>
          <w:sz w:val="24"/>
          <w:szCs w:val="24"/>
        </w:rPr>
        <w:lastRenderedPageBreak/>
        <w:t>Sempre secondo le indicazioni dell</w:t>
      </w:r>
      <w:r w:rsidR="00AF0B48">
        <w:rPr>
          <w:sz w:val="24"/>
          <w:szCs w:val="24"/>
        </w:rPr>
        <w:t>e linee per la gestione del SSR,</w:t>
      </w:r>
      <w:r w:rsidRPr="009951C8">
        <w:rPr>
          <w:sz w:val="24"/>
          <w:szCs w:val="24"/>
        </w:rPr>
        <w:t xml:space="preserve"> il documento non </w:t>
      </w:r>
      <w:r w:rsidR="00AF0B48">
        <w:rPr>
          <w:sz w:val="24"/>
          <w:szCs w:val="24"/>
        </w:rPr>
        <w:t>contiene</w:t>
      </w:r>
      <w:r w:rsidRPr="009951C8">
        <w:rPr>
          <w:sz w:val="24"/>
          <w:szCs w:val="24"/>
        </w:rPr>
        <w:t xml:space="preserve"> la revisione del programma e del bilancio preventivo triennale.</w:t>
      </w:r>
    </w:p>
    <w:p w:rsidR="00992E66" w:rsidRPr="00927899" w:rsidRDefault="00927899" w:rsidP="0092789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 </w:t>
      </w:r>
      <w:r w:rsidR="00E15FD1">
        <w:rPr>
          <w:b/>
          <w:sz w:val="26"/>
          <w:szCs w:val="26"/>
        </w:rPr>
        <w:t xml:space="preserve">Monitoraggio della gestione </w:t>
      </w:r>
      <w:r w:rsidR="004A63EC" w:rsidRPr="00927899">
        <w:rPr>
          <w:b/>
          <w:sz w:val="26"/>
          <w:szCs w:val="26"/>
        </w:rPr>
        <w:fldChar w:fldCharType="begin"/>
      </w:r>
      <w:r w:rsidR="0036369C" w:rsidRPr="00927899">
        <w:rPr>
          <w:sz w:val="26"/>
          <w:szCs w:val="26"/>
        </w:rPr>
        <w:instrText xml:space="preserve"> XE "</w:instrText>
      </w:r>
      <w:r w:rsidR="00236706" w:rsidRPr="00927899">
        <w:rPr>
          <w:b/>
          <w:sz w:val="26"/>
          <w:szCs w:val="26"/>
        </w:rPr>
        <w:instrText>3</w:instrText>
      </w:r>
      <w:r w:rsidR="00066F35" w:rsidRPr="00927899">
        <w:rPr>
          <w:b/>
          <w:sz w:val="26"/>
          <w:szCs w:val="26"/>
        </w:rPr>
        <w:instrText>.1</w:instrText>
      </w:r>
      <w:r w:rsidR="0036369C" w:rsidRPr="00927899">
        <w:rPr>
          <w:b/>
          <w:sz w:val="26"/>
          <w:szCs w:val="26"/>
        </w:rPr>
        <w:instrText xml:space="preserve"> </w:instrText>
      </w:r>
      <w:r w:rsidR="00B26055">
        <w:rPr>
          <w:b/>
          <w:sz w:val="26"/>
          <w:szCs w:val="26"/>
        </w:rPr>
        <w:instrText>Monitoraggio della gestione</w:instrText>
      </w:r>
      <w:r w:rsidR="0036369C" w:rsidRPr="00927899">
        <w:rPr>
          <w:sz w:val="26"/>
          <w:szCs w:val="26"/>
        </w:rPr>
        <w:instrText xml:space="preserve">" </w:instrText>
      </w:r>
      <w:r w:rsidR="004A63EC" w:rsidRPr="00927899">
        <w:rPr>
          <w:b/>
          <w:sz w:val="26"/>
          <w:szCs w:val="26"/>
        </w:rPr>
        <w:fldChar w:fldCharType="end"/>
      </w:r>
    </w:p>
    <w:p w:rsidR="002F6C2B" w:rsidRPr="002703D2" w:rsidRDefault="002F6C2B" w:rsidP="00E95BCF">
      <w:pPr>
        <w:pStyle w:val="Default"/>
        <w:ind w:left="420" w:hanging="140"/>
        <w:jc w:val="both"/>
        <w:rPr>
          <w:rFonts w:asciiTheme="minorHAnsi" w:hAnsiTheme="minorHAnsi"/>
          <w:sz w:val="16"/>
          <w:szCs w:val="16"/>
        </w:rPr>
      </w:pPr>
    </w:p>
    <w:p w:rsidR="00A769CD" w:rsidRPr="009951C8" w:rsidRDefault="00E15FD1" w:rsidP="00927899">
      <w:pPr>
        <w:pStyle w:val="Default"/>
        <w:ind w:left="420" w:hanging="42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TRIMESTRALE</w:t>
      </w:r>
    </w:p>
    <w:p w:rsidR="005446E8" w:rsidRPr="009951C8" w:rsidRDefault="001604DD" w:rsidP="00E15FD1">
      <w:pPr>
        <w:autoSpaceDE w:val="0"/>
        <w:autoSpaceDN w:val="0"/>
        <w:adjustRightInd w:val="0"/>
        <w:spacing w:after="0" w:line="240" w:lineRule="auto"/>
        <w:jc w:val="both"/>
        <w:rPr>
          <w:rFonts w:eastAsia="DecimaWERg" w:cs="DecimaWERg"/>
          <w:sz w:val="24"/>
          <w:szCs w:val="24"/>
        </w:rPr>
      </w:pPr>
      <w:r w:rsidRPr="009951C8">
        <w:rPr>
          <w:rFonts w:eastAsia="DecimaWERg" w:cs="DecimaWERg"/>
          <w:sz w:val="24"/>
          <w:szCs w:val="24"/>
        </w:rPr>
        <w:t xml:space="preserve">Il monitoraggio </w:t>
      </w:r>
      <w:r w:rsidR="001A7087" w:rsidRPr="009951C8">
        <w:rPr>
          <w:rFonts w:eastAsia="DecimaWERg" w:cs="DecimaWERg"/>
          <w:sz w:val="24"/>
          <w:szCs w:val="24"/>
        </w:rPr>
        <w:t xml:space="preserve">trimestrale </w:t>
      </w:r>
      <w:r w:rsidRPr="009951C8">
        <w:rPr>
          <w:rFonts w:eastAsia="DecimaWERg" w:cs="DecimaWERg"/>
          <w:sz w:val="24"/>
          <w:szCs w:val="24"/>
        </w:rPr>
        <w:t xml:space="preserve">dell’attuazione del programma e del rispetto dei vincoli di bilancio </w:t>
      </w:r>
      <w:r w:rsidR="005446E8" w:rsidRPr="009951C8">
        <w:rPr>
          <w:rFonts w:eastAsia="DecimaWERg" w:cs="DecimaWERg"/>
          <w:sz w:val="24"/>
          <w:szCs w:val="24"/>
        </w:rPr>
        <w:t>è stato effettuato secondo le indicazioni della LR 49/1996 con la seguente articolazione: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2160"/>
        <w:gridCol w:w="2250"/>
        <w:gridCol w:w="2160"/>
      </w:tblGrid>
      <w:tr w:rsidR="005446E8" w:rsidRPr="009951C8" w:rsidTr="00927899">
        <w:tc>
          <w:tcPr>
            <w:tcW w:w="2880" w:type="dxa"/>
          </w:tcPr>
          <w:p w:rsidR="005446E8" w:rsidRPr="009951C8" w:rsidRDefault="005446E8" w:rsidP="005446E8">
            <w:pPr>
              <w:autoSpaceDE w:val="0"/>
              <w:autoSpaceDN w:val="0"/>
              <w:adjustRightInd w:val="0"/>
              <w:rPr>
                <w:rFonts w:eastAsia="DecimaWERg" w:cs="DecimaWERg"/>
                <w:sz w:val="24"/>
                <w:szCs w:val="24"/>
              </w:rPr>
            </w:pPr>
          </w:p>
        </w:tc>
        <w:tc>
          <w:tcPr>
            <w:tcW w:w="2160" w:type="dxa"/>
          </w:tcPr>
          <w:p w:rsidR="001A7087" w:rsidRPr="009951C8" w:rsidRDefault="005446E8" w:rsidP="005446E8">
            <w:pPr>
              <w:rPr>
                <w:rFonts w:eastAsia="DecimaWERg" w:cs="DecimaWERg"/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t>I trimestre</w:t>
            </w:r>
          </w:p>
          <w:p w:rsidR="005446E8" w:rsidRPr="009951C8" w:rsidRDefault="001A7087" w:rsidP="005446E8">
            <w:pPr>
              <w:rPr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t>(</w:t>
            </w:r>
            <w:r w:rsidRPr="009951C8">
              <w:rPr>
                <w:b/>
                <w:sz w:val="24"/>
                <w:szCs w:val="24"/>
              </w:rPr>
              <w:t>delibera CRO n. 88 del 15.05.2013)</w:t>
            </w:r>
            <w:r w:rsidR="005446E8" w:rsidRPr="009951C8">
              <w:rPr>
                <w:rFonts w:eastAsia="DecimaWERg" w:cs="DecimaWERg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5446E8" w:rsidRPr="009951C8" w:rsidRDefault="005446E8" w:rsidP="005446E8">
            <w:pPr>
              <w:rPr>
                <w:rFonts w:eastAsia="DecimaWERg" w:cs="DecimaWERg"/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t xml:space="preserve">II trimestre II </w:t>
            </w:r>
          </w:p>
          <w:p w:rsidR="001A7087" w:rsidRPr="009951C8" w:rsidRDefault="001A7087" w:rsidP="005446E8">
            <w:pPr>
              <w:rPr>
                <w:sz w:val="24"/>
                <w:szCs w:val="24"/>
              </w:rPr>
            </w:pPr>
            <w:r w:rsidRPr="009951C8">
              <w:rPr>
                <w:b/>
                <w:sz w:val="24"/>
                <w:szCs w:val="24"/>
              </w:rPr>
              <w:t>(delibera CRO n. 146 del 31.07.2013)</w:t>
            </w:r>
          </w:p>
        </w:tc>
        <w:tc>
          <w:tcPr>
            <w:tcW w:w="2160" w:type="dxa"/>
          </w:tcPr>
          <w:p w:rsidR="005446E8" w:rsidRPr="009951C8" w:rsidRDefault="005446E8">
            <w:pPr>
              <w:rPr>
                <w:rFonts w:eastAsia="DecimaWERg" w:cs="DecimaWERg"/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t>III trimestre</w:t>
            </w:r>
          </w:p>
          <w:p w:rsidR="001A7087" w:rsidRPr="009951C8" w:rsidRDefault="001A7087">
            <w:pPr>
              <w:rPr>
                <w:sz w:val="24"/>
                <w:szCs w:val="24"/>
              </w:rPr>
            </w:pPr>
            <w:r w:rsidRPr="009951C8">
              <w:rPr>
                <w:b/>
                <w:sz w:val="24"/>
                <w:szCs w:val="24"/>
              </w:rPr>
              <w:t>(delibera CRO n. 194 del 31.10.2013)</w:t>
            </w:r>
          </w:p>
        </w:tc>
      </w:tr>
      <w:tr w:rsidR="005446E8" w:rsidRPr="009951C8" w:rsidTr="00927899">
        <w:tc>
          <w:tcPr>
            <w:tcW w:w="2880" w:type="dxa"/>
          </w:tcPr>
          <w:p w:rsidR="005446E8" w:rsidRPr="009951C8" w:rsidRDefault="005446E8" w:rsidP="005446E8">
            <w:pPr>
              <w:autoSpaceDE w:val="0"/>
              <w:autoSpaceDN w:val="0"/>
              <w:adjustRightInd w:val="0"/>
              <w:rPr>
                <w:rFonts w:eastAsia="DecimaWERg" w:cs="DecimaWERg"/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t>Risorse economiche</w:t>
            </w:r>
          </w:p>
        </w:tc>
        <w:tc>
          <w:tcPr>
            <w:tcW w:w="2160" w:type="dxa"/>
          </w:tcPr>
          <w:p w:rsidR="005446E8" w:rsidRPr="009951C8" w:rsidRDefault="005446E8" w:rsidP="001A7087">
            <w:pPr>
              <w:autoSpaceDE w:val="0"/>
              <w:autoSpaceDN w:val="0"/>
              <w:adjustRightInd w:val="0"/>
              <w:jc w:val="center"/>
              <w:rPr>
                <w:rFonts w:eastAsia="DecimaWERg" w:cs="DecimaWERg"/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  <w:tc>
          <w:tcPr>
            <w:tcW w:w="2250" w:type="dxa"/>
          </w:tcPr>
          <w:p w:rsidR="005446E8" w:rsidRPr="009951C8" w:rsidRDefault="005446E8" w:rsidP="001A7087">
            <w:pPr>
              <w:jc w:val="center"/>
              <w:rPr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  <w:tc>
          <w:tcPr>
            <w:tcW w:w="2160" w:type="dxa"/>
          </w:tcPr>
          <w:p w:rsidR="005446E8" w:rsidRPr="009951C8" w:rsidRDefault="005446E8" w:rsidP="001A7087">
            <w:pPr>
              <w:jc w:val="center"/>
              <w:rPr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</w:tr>
      <w:tr w:rsidR="005446E8" w:rsidRPr="009951C8" w:rsidTr="00927899">
        <w:tc>
          <w:tcPr>
            <w:tcW w:w="2880" w:type="dxa"/>
          </w:tcPr>
          <w:p w:rsidR="005446E8" w:rsidRPr="009951C8" w:rsidRDefault="005446E8" w:rsidP="005446E8">
            <w:pPr>
              <w:autoSpaceDE w:val="0"/>
              <w:autoSpaceDN w:val="0"/>
              <w:adjustRightInd w:val="0"/>
              <w:rPr>
                <w:rFonts w:eastAsia="DecimaWERg" w:cs="DecimaWERg"/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t>Manovra del personale</w:t>
            </w:r>
          </w:p>
        </w:tc>
        <w:tc>
          <w:tcPr>
            <w:tcW w:w="2160" w:type="dxa"/>
          </w:tcPr>
          <w:p w:rsidR="005446E8" w:rsidRPr="009951C8" w:rsidRDefault="005446E8" w:rsidP="001A7087">
            <w:pPr>
              <w:autoSpaceDE w:val="0"/>
              <w:autoSpaceDN w:val="0"/>
              <w:adjustRightInd w:val="0"/>
              <w:jc w:val="center"/>
              <w:rPr>
                <w:rFonts w:eastAsia="DecimaWERg" w:cs="DecimaWERg"/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  <w:tc>
          <w:tcPr>
            <w:tcW w:w="2250" w:type="dxa"/>
          </w:tcPr>
          <w:p w:rsidR="005446E8" w:rsidRPr="009951C8" w:rsidRDefault="005446E8" w:rsidP="001A7087">
            <w:pPr>
              <w:jc w:val="center"/>
              <w:rPr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  <w:tc>
          <w:tcPr>
            <w:tcW w:w="2160" w:type="dxa"/>
          </w:tcPr>
          <w:p w:rsidR="005446E8" w:rsidRPr="009951C8" w:rsidRDefault="005446E8" w:rsidP="001A7087">
            <w:pPr>
              <w:jc w:val="center"/>
              <w:rPr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</w:tr>
      <w:tr w:rsidR="005446E8" w:rsidRPr="009951C8" w:rsidTr="00927899">
        <w:tc>
          <w:tcPr>
            <w:tcW w:w="2880" w:type="dxa"/>
          </w:tcPr>
          <w:p w:rsidR="005446E8" w:rsidRPr="009951C8" w:rsidRDefault="005446E8" w:rsidP="005446E8">
            <w:pPr>
              <w:autoSpaceDE w:val="0"/>
              <w:autoSpaceDN w:val="0"/>
              <w:adjustRightInd w:val="0"/>
              <w:rPr>
                <w:rFonts w:eastAsia="DecimaWERg" w:cs="DecimaWERg"/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t>Piano degli investimenti</w:t>
            </w:r>
          </w:p>
        </w:tc>
        <w:tc>
          <w:tcPr>
            <w:tcW w:w="2160" w:type="dxa"/>
          </w:tcPr>
          <w:p w:rsidR="005446E8" w:rsidRPr="009951C8" w:rsidRDefault="005446E8" w:rsidP="001A7087">
            <w:pPr>
              <w:autoSpaceDE w:val="0"/>
              <w:autoSpaceDN w:val="0"/>
              <w:adjustRightInd w:val="0"/>
              <w:jc w:val="center"/>
              <w:rPr>
                <w:rFonts w:eastAsia="DecimaWERg" w:cs="DecimaWERg"/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  <w:tc>
          <w:tcPr>
            <w:tcW w:w="2250" w:type="dxa"/>
          </w:tcPr>
          <w:p w:rsidR="005446E8" w:rsidRPr="009951C8" w:rsidRDefault="005446E8" w:rsidP="001A7087">
            <w:pPr>
              <w:jc w:val="center"/>
              <w:rPr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  <w:tc>
          <w:tcPr>
            <w:tcW w:w="2160" w:type="dxa"/>
          </w:tcPr>
          <w:p w:rsidR="005446E8" w:rsidRPr="009951C8" w:rsidRDefault="005446E8" w:rsidP="001A7087">
            <w:pPr>
              <w:jc w:val="center"/>
              <w:rPr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</w:tr>
      <w:tr w:rsidR="005446E8" w:rsidRPr="009951C8" w:rsidTr="00927899">
        <w:tc>
          <w:tcPr>
            <w:tcW w:w="2880" w:type="dxa"/>
          </w:tcPr>
          <w:p w:rsidR="005446E8" w:rsidRPr="009951C8" w:rsidRDefault="002703D2" w:rsidP="005446E8">
            <w:pPr>
              <w:autoSpaceDE w:val="0"/>
              <w:autoSpaceDN w:val="0"/>
              <w:adjustRightInd w:val="0"/>
              <w:rPr>
                <w:rFonts w:eastAsia="DecimaWERg" w:cs="DecimaWERg"/>
                <w:sz w:val="24"/>
                <w:szCs w:val="24"/>
              </w:rPr>
            </w:pPr>
            <w:r>
              <w:rPr>
                <w:rFonts w:eastAsia="DecimaWERg" w:cs="DecimaWERg"/>
                <w:sz w:val="24"/>
                <w:szCs w:val="24"/>
              </w:rPr>
              <w:t>Progettualità</w:t>
            </w:r>
            <w:r w:rsidR="005446E8" w:rsidRPr="009951C8">
              <w:rPr>
                <w:rFonts w:eastAsia="DecimaWERg" w:cs="DecimaWERg"/>
                <w:sz w:val="24"/>
                <w:szCs w:val="24"/>
              </w:rPr>
              <w:t xml:space="preserve"> aziendali</w:t>
            </w:r>
          </w:p>
        </w:tc>
        <w:tc>
          <w:tcPr>
            <w:tcW w:w="2160" w:type="dxa"/>
          </w:tcPr>
          <w:p w:rsidR="005446E8" w:rsidRPr="009951C8" w:rsidRDefault="005446E8" w:rsidP="001A7087">
            <w:pPr>
              <w:autoSpaceDE w:val="0"/>
              <w:autoSpaceDN w:val="0"/>
              <w:adjustRightInd w:val="0"/>
              <w:jc w:val="center"/>
              <w:rPr>
                <w:rFonts w:eastAsia="DecimaWERg" w:cs="DecimaWERg"/>
                <w:sz w:val="24"/>
                <w:szCs w:val="24"/>
              </w:rPr>
            </w:pPr>
          </w:p>
        </w:tc>
        <w:tc>
          <w:tcPr>
            <w:tcW w:w="2250" w:type="dxa"/>
          </w:tcPr>
          <w:p w:rsidR="005446E8" w:rsidRPr="009951C8" w:rsidRDefault="005446E8" w:rsidP="001A7087">
            <w:pPr>
              <w:jc w:val="center"/>
              <w:rPr>
                <w:sz w:val="24"/>
                <w:szCs w:val="24"/>
              </w:rPr>
            </w:pPr>
            <w:r w:rsidRPr="009951C8">
              <w:rPr>
                <w:rFonts w:eastAsia="DecimaWERg" w:cs="DecimaWERg"/>
                <w:sz w:val="24"/>
                <w:szCs w:val="24"/>
              </w:rPr>
              <w:sym w:font="Wingdings 2" w:char="F053"/>
            </w:r>
          </w:p>
        </w:tc>
        <w:tc>
          <w:tcPr>
            <w:tcW w:w="2160" w:type="dxa"/>
          </w:tcPr>
          <w:p w:rsidR="005446E8" w:rsidRPr="009951C8" w:rsidRDefault="005446E8" w:rsidP="001A7087">
            <w:pPr>
              <w:autoSpaceDE w:val="0"/>
              <w:autoSpaceDN w:val="0"/>
              <w:adjustRightInd w:val="0"/>
              <w:jc w:val="center"/>
              <w:rPr>
                <w:rFonts w:eastAsia="DecimaWERg" w:cs="DecimaWERg"/>
                <w:sz w:val="24"/>
                <w:szCs w:val="24"/>
              </w:rPr>
            </w:pPr>
          </w:p>
        </w:tc>
      </w:tr>
    </w:tbl>
    <w:p w:rsidR="001B0622" w:rsidRDefault="001B0622" w:rsidP="00A769CD">
      <w:pPr>
        <w:pStyle w:val="Default"/>
        <w:ind w:left="420" w:hanging="140"/>
        <w:jc w:val="both"/>
        <w:rPr>
          <w:rFonts w:asciiTheme="minorHAnsi" w:hAnsiTheme="minorHAnsi"/>
          <w:u w:val="single"/>
        </w:rPr>
      </w:pPr>
    </w:p>
    <w:p w:rsidR="005446E8" w:rsidRPr="009951C8" w:rsidRDefault="00BD464A" w:rsidP="00927899">
      <w:pPr>
        <w:pStyle w:val="Default"/>
        <w:ind w:left="420" w:hanging="42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A</w:t>
      </w:r>
      <w:r w:rsidR="00E15FD1">
        <w:rPr>
          <w:rFonts w:asciiTheme="minorHAnsi" w:hAnsiTheme="minorHAnsi"/>
          <w:u w:val="single"/>
        </w:rPr>
        <w:t>NNUALE</w:t>
      </w:r>
    </w:p>
    <w:p w:rsidR="00954248" w:rsidRPr="008F5D53" w:rsidRDefault="00A769CD" w:rsidP="008F5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D53">
        <w:rPr>
          <w:rFonts w:cs="Times New Roman"/>
          <w:sz w:val="24"/>
          <w:szCs w:val="24"/>
        </w:rPr>
        <w:t xml:space="preserve">Il controllo annuale è </w:t>
      </w:r>
      <w:r w:rsidR="00D4314D" w:rsidRPr="008F5D53">
        <w:rPr>
          <w:rFonts w:cs="Times New Roman"/>
          <w:sz w:val="24"/>
          <w:szCs w:val="24"/>
        </w:rPr>
        <w:t xml:space="preserve">stato </w:t>
      </w:r>
      <w:r w:rsidR="00D02F0A" w:rsidRPr="008F5D53">
        <w:rPr>
          <w:rFonts w:cs="Times New Roman"/>
          <w:sz w:val="24"/>
          <w:szCs w:val="24"/>
        </w:rPr>
        <w:t xml:space="preserve">realizzato attraverso la predisposizione del bilancio consuntivo </w:t>
      </w:r>
      <w:r w:rsidRPr="008F5D53">
        <w:rPr>
          <w:rFonts w:cs="Times New Roman"/>
          <w:sz w:val="24"/>
          <w:szCs w:val="24"/>
        </w:rPr>
        <w:t xml:space="preserve"> corredato dalla </w:t>
      </w:r>
      <w:r w:rsidR="00A70425" w:rsidRPr="008F5D53">
        <w:rPr>
          <w:rFonts w:cs="Times New Roman"/>
          <w:sz w:val="24"/>
          <w:szCs w:val="24"/>
        </w:rPr>
        <w:t xml:space="preserve">relazione sulla gestione </w:t>
      </w:r>
      <w:r w:rsidR="00954248" w:rsidRPr="008F5D53">
        <w:rPr>
          <w:rFonts w:cs="Times New Roman"/>
          <w:sz w:val="24"/>
          <w:szCs w:val="24"/>
        </w:rPr>
        <w:t xml:space="preserve">che </w:t>
      </w:r>
      <w:r w:rsidR="00A70425" w:rsidRPr="008F5D53">
        <w:rPr>
          <w:rFonts w:cs="Times New Roman"/>
          <w:sz w:val="24"/>
          <w:szCs w:val="24"/>
        </w:rPr>
        <w:t>esplicita, motiva  e commenta i risultati rispetto agli obiettivi posti in sede di programmazione, con particolare riferimento agli investimenti, ai ricavi, ai co</w:t>
      </w:r>
      <w:r w:rsidR="00396658">
        <w:rPr>
          <w:rFonts w:cs="Times New Roman"/>
          <w:sz w:val="24"/>
          <w:szCs w:val="24"/>
        </w:rPr>
        <w:t>sti e agli oneri dell’esercizio</w:t>
      </w:r>
      <w:r w:rsidR="00D02F0A" w:rsidRPr="008F5D53">
        <w:rPr>
          <w:rFonts w:cs="Times New Roman"/>
          <w:sz w:val="24"/>
          <w:szCs w:val="24"/>
        </w:rPr>
        <w:t xml:space="preserve"> (delibera n. 111 del 30.04.2014).</w:t>
      </w:r>
    </w:p>
    <w:p w:rsidR="00D70094" w:rsidRDefault="00D70094" w:rsidP="008F5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E15FD1" w:rsidRPr="00E15FD1" w:rsidRDefault="00E15FD1" w:rsidP="008F5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E15FD1">
        <w:rPr>
          <w:rFonts w:cs="Times New Roman"/>
          <w:sz w:val="24"/>
          <w:szCs w:val="24"/>
          <w:u w:val="single"/>
        </w:rPr>
        <w:t>Sintesi dei risultati</w:t>
      </w:r>
      <w:r w:rsidR="006B0682">
        <w:rPr>
          <w:rFonts w:cs="Times New Roman"/>
          <w:sz w:val="24"/>
          <w:szCs w:val="24"/>
          <w:u w:val="single"/>
        </w:rPr>
        <w:t xml:space="preserve"> della programmazione anno 2013</w:t>
      </w:r>
    </w:p>
    <w:p w:rsidR="00D4314D" w:rsidRDefault="00D4314D" w:rsidP="008F5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8F5D53">
        <w:rPr>
          <w:rFonts w:cs="Times New Roman"/>
          <w:sz w:val="24"/>
          <w:szCs w:val="24"/>
        </w:rPr>
        <w:t xml:space="preserve">Negli ultimi 4 anni </w:t>
      </w:r>
      <w:r w:rsidR="00AA3C97">
        <w:rPr>
          <w:rFonts w:cs="Times New Roman"/>
          <w:sz w:val="24"/>
          <w:szCs w:val="24"/>
        </w:rPr>
        <w:t xml:space="preserve">l’attività assistenziale dell’Istituto ha risentito dei lavori di messa a norma dell’edificio </w:t>
      </w:r>
      <w:r w:rsidR="00CA365E" w:rsidRPr="008F5D53">
        <w:rPr>
          <w:rFonts w:cs="Times New Roman"/>
          <w:sz w:val="24"/>
          <w:szCs w:val="24"/>
        </w:rPr>
        <w:t xml:space="preserve">che hanno interessato tutti i piani dell’edificio e che hanno richiesto un notevole impegno da parte del personale sanitario </w:t>
      </w:r>
      <w:r w:rsidR="00AA3C97">
        <w:rPr>
          <w:rFonts w:cs="Times New Roman"/>
          <w:sz w:val="24"/>
          <w:szCs w:val="24"/>
        </w:rPr>
        <w:t xml:space="preserve">finalizzato a ridurre i disagi </w:t>
      </w:r>
      <w:r w:rsidR="00396658">
        <w:rPr>
          <w:rFonts w:cs="Times New Roman"/>
          <w:sz w:val="24"/>
          <w:szCs w:val="24"/>
        </w:rPr>
        <w:t xml:space="preserve">dei </w:t>
      </w:r>
      <w:r w:rsidR="00CA365E" w:rsidRPr="008F5D53">
        <w:rPr>
          <w:rFonts w:cs="Times New Roman"/>
          <w:sz w:val="24"/>
          <w:szCs w:val="24"/>
        </w:rPr>
        <w:t xml:space="preserve">pazienti. Tali ristrutturazioni hanno </w:t>
      </w:r>
      <w:r w:rsidR="0050623C">
        <w:rPr>
          <w:rFonts w:cs="Times New Roman"/>
          <w:sz w:val="24"/>
          <w:szCs w:val="24"/>
        </w:rPr>
        <w:t>cambiato</w:t>
      </w:r>
      <w:r w:rsidR="00CA365E" w:rsidRPr="008F5D53">
        <w:rPr>
          <w:rFonts w:cs="Times New Roman"/>
          <w:sz w:val="24"/>
          <w:szCs w:val="24"/>
        </w:rPr>
        <w:t xml:space="preserve"> la struttura del CRO migliorandone la sicurezza, l’aspetto e, in molti casi, anche la funzionalità.</w:t>
      </w:r>
    </w:p>
    <w:p w:rsidR="00F301A4" w:rsidRPr="0050623C" w:rsidRDefault="00F301A4" w:rsidP="008F5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0623C">
        <w:rPr>
          <w:rFonts w:cs="Times New Roman"/>
          <w:sz w:val="24"/>
          <w:szCs w:val="24"/>
        </w:rPr>
        <w:t xml:space="preserve">L’ultimo lotto degli interventi realizzati nel </w:t>
      </w:r>
      <w:r w:rsidR="0050623C">
        <w:rPr>
          <w:rFonts w:cs="Times New Roman"/>
          <w:sz w:val="24"/>
          <w:szCs w:val="24"/>
        </w:rPr>
        <w:t xml:space="preserve">corso del </w:t>
      </w:r>
      <w:smartTag w:uri="urn:schemas-microsoft-com:office:smarttags" w:element="metricconverter">
        <w:smartTagPr>
          <w:attr w:name="ProductID" w:val="2013 ha"/>
        </w:smartTagPr>
        <w:r w:rsidRPr="0050623C">
          <w:rPr>
            <w:rFonts w:cs="Times New Roman"/>
            <w:sz w:val="24"/>
            <w:szCs w:val="24"/>
          </w:rPr>
          <w:t>2013 ha</w:t>
        </w:r>
      </w:smartTag>
      <w:r w:rsidRPr="0050623C">
        <w:rPr>
          <w:rFonts w:cs="Times New Roman"/>
          <w:sz w:val="24"/>
          <w:szCs w:val="24"/>
        </w:rPr>
        <w:t xml:space="preserve"> coinvolto il V piano</w:t>
      </w:r>
      <w:r w:rsidR="006B0682">
        <w:rPr>
          <w:rFonts w:cs="Times New Roman"/>
          <w:sz w:val="24"/>
          <w:szCs w:val="24"/>
        </w:rPr>
        <w:t>,</w:t>
      </w:r>
      <w:r w:rsidRPr="0050623C">
        <w:rPr>
          <w:rFonts w:cs="Times New Roman"/>
          <w:sz w:val="24"/>
          <w:szCs w:val="24"/>
        </w:rPr>
        <w:t xml:space="preserve"> modificando in modo importante la logistica dell’attività operatoria: per circa otto mesi sono state disponibili solamente 2 sale operatorie anziché 4. Durante questo periodo si sono apportate modifiche organizzative tali da minimizzare l’impatto  sui tempi di attesa e sui volumi di attività. </w:t>
      </w:r>
    </w:p>
    <w:p w:rsidR="00F301A4" w:rsidRPr="0050623C" w:rsidRDefault="00F301A4" w:rsidP="0050623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0623C">
        <w:rPr>
          <w:rFonts w:cs="Times New Roman"/>
          <w:sz w:val="24"/>
          <w:szCs w:val="24"/>
        </w:rPr>
        <w:t>I lavori hanno</w:t>
      </w:r>
      <w:r w:rsidR="00B26055">
        <w:rPr>
          <w:rFonts w:cs="Times New Roman"/>
          <w:sz w:val="24"/>
          <w:szCs w:val="24"/>
        </w:rPr>
        <w:t>, in</w:t>
      </w:r>
      <w:r w:rsidR="0050623C">
        <w:rPr>
          <w:rFonts w:cs="Times New Roman"/>
          <w:sz w:val="24"/>
          <w:szCs w:val="24"/>
        </w:rPr>
        <w:t>oltre,</w:t>
      </w:r>
      <w:r w:rsidRPr="0050623C">
        <w:rPr>
          <w:rFonts w:cs="Times New Roman"/>
          <w:sz w:val="24"/>
          <w:szCs w:val="24"/>
        </w:rPr>
        <w:t xml:space="preserve"> interessato </w:t>
      </w:r>
      <w:r w:rsidR="0050623C" w:rsidRPr="0050623C">
        <w:rPr>
          <w:rFonts w:cs="Times New Roman"/>
          <w:sz w:val="24"/>
          <w:szCs w:val="24"/>
        </w:rPr>
        <w:t xml:space="preserve">l’attività svolta </w:t>
      </w:r>
      <w:r w:rsidR="0050623C">
        <w:rPr>
          <w:rFonts w:cs="Times New Roman"/>
          <w:sz w:val="24"/>
          <w:szCs w:val="24"/>
        </w:rPr>
        <w:t xml:space="preserve">al V piano dalla </w:t>
      </w:r>
      <w:r w:rsidR="0050623C" w:rsidRPr="0050623C">
        <w:rPr>
          <w:rFonts w:cs="Times New Roman"/>
          <w:sz w:val="24"/>
          <w:szCs w:val="24"/>
        </w:rPr>
        <w:t>sezione trapiantologica che è stata sospesa per circa 2 mesi</w:t>
      </w:r>
      <w:r w:rsidRPr="0050623C">
        <w:rPr>
          <w:rFonts w:cs="Times New Roman"/>
          <w:sz w:val="24"/>
          <w:szCs w:val="24"/>
        </w:rPr>
        <w:t>.</w:t>
      </w:r>
    </w:p>
    <w:p w:rsidR="00D02F0A" w:rsidRPr="009951C8" w:rsidRDefault="00D02F0A" w:rsidP="009951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951C8">
        <w:rPr>
          <w:rFonts w:cs="Times New Roman"/>
          <w:sz w:val="24"/>
          <w:szCs w:val="24"/>
        </w:rPr>
        <w:t>Nel complesso, il CRO è riuscito a mantenere anche nel 2013 un adeguato volume di attività per i cittadini regionali ed extra-regionali, nonostante le limitazioni s</w:t>
      </w:r>
      <w:r w:rsidR="005216CA">
        <w:rPr>
          <w:rFonts w:cs="Times New Roman"/>
          <w:sz w:val="24"/>
          <w:szCs w:val="24"/>
        </w:rPr>
        <w:t>oprariportate</w:t>
      </w:r>
      <w:r w:rsidRPr="009951C8">
        <w:rPr>
          <w:rFonts w:cs="Times New Roman"/>
          <w:sz w:val="24"/>
          <w:szCs w:val="24"/>
        </w:rPr>
        <w:t>.</w:t>
      </w:r>
    </w:p>
    <w:p w:rsidR="00AA3C97" w:rsidRDefault="00F413F1" w:rsidP="009951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9951C8">
        <w:rPr>
          <w:rFonts w:cs="Times New Roman"/>
          <w:sz w:val="24"/>
          <w:szCs w:val="24"/>
        </w:rPr>
        <w:t xml:space="preserve">L’attrazione esercitata sulla popolazione oncologica (più del 50% dei pazienti provengono da fuori regione) è legata alle peculiarità del CRO, che sono l’approccio diagnostico e terapeutico multidisciplinare, la traslazionalità delle cure, l’innovazione scientifica e la centralità del paziente come persona e soggetto sociale. </w:t>
      </w:r>
    </w:p>
    <w:p w:rsidR="00E03E2A" w:rsidRPr="009951C8" w:rsidRDefault="00AA3C97" w:rsidP="009951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="00E03E2A" w:rsidRPr="009951C8">
        <w:rPr>
          <w:rFonts w:cs="Times New Roman"/>
          <w:sz w:val="24"/>
          <w:szCs w:val="24"/>
        </w:rPr>
        <w:t>a qualità complessiva dell’Istituto è stata valutata da diversi soggetti internazionali per le diverse aree e globalmente da Accreditation Canada.</w:t>
      </w:r>
    </w:p>
    <w:p w:rsidR="00F53E2F" w:rsidRPr="00F53E2F" w:rsidRDefault="00F53E2F" w:rsidP="00F53E2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53E2F">
        <w:rPr>
          <w:rFonts w:cs="Times New Roman"/>
          <w:sz w:val="24"/>
          <w:szCs w:val="24"/>
        </w:rPr>
        <w:t>Nel 2013, inoltre, è continuata una valida attività scientifica che, coinvolgendo numerosi ricercatori, si concretizza in una costante qualità degli indicatori di produzione scientifica (IF), in ulteriori sviluppi di reti e relazioni con centri internazionali e nazionali che contribuiscono in modo significativo a far conoscere il CRO nella comunità scientifica, e nella traslazione di importanti conoscenze teoriche in trattamenti al letto del paziente.</w:t>
      </w:r>
    </w:p>
    <w:p w:rsidR="00E03E2A" w:rsidRPr="00124825" w:rsidRDefault="00E03E2A" w:rsidP="009951C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24825">
        <w:rPr>
          <w:rFonts w:cs="Times New Roman"/>
          <w:sz w:val="24"/>
          <w:szCs w:val="24"/>
        </w:rPr>
        <w:lastRenderedPageBreak/>
        <w:t xml:space="preserve">Il CRO ha partecipato attivamente alle progettualità regionali e di area vasta definite nel documento di </w:t>
      </w:r>
      <w:r w:rsidR="00AA3C97" w:rsidRPr="00124825">
        <w:rPr>
          <w:rFonts w:cs="Times New Roman"/>
          <w:sz w:val="24"/>
          <w:szCs w:val="24"/>
        </w:rPr>
        <w:t>“</w:t>
      </w:r>
      <w:r w:rsidRPr="00124825">
        <w:rPr>
          <w:sz w:val="24"/>
          <w:szCs w:val="24"/>
        </w:rPr>
        <w:t>programma ed il bilancio preventivo annuale consolidato</w:t>
      </w:r>
      <w:r w:rsidR="00AA3C97" w:rsidRPr="00124825">
        <w:rPr>
          <w:sz w:val="24"/>
          <w:szCs w:val="24"/>
        </w:rPr>
        <w:t>”</w:t>
      </w:r>
      <w:r w:rsidR="00422258">
        <w:rPr>
          <w:sz w:val="24"/>
          <w:szCs w:val="24"/>
        </w:rPr>
        <w:t xml:space="preserve"> e nel patto del direttore generale</w:t>
      </w:r>
      <w:r w:rsidRPr="00124825">
        <w:rPr>
          <w:sz w:val="24"/>
          <w:szCs w:val="24"/>
        </w:rPr>
        <w:t xml:space="preserve">, </w:t>
      </w:r>
      <w:r w:rsidRPr="00124825">
        <w:rPr>
          <w:rFonts w:cs="Times New Roman"/>
          <w:sz w:val="24"/>
          <w:szCs w:val="24"/>
        </w:rPr>
        <w:t>con particolare riferimento:</w:t>
      </w:r>
    </w:p>
    <w:p w:rsidR="00E03E2A" w:rsidRPr="00124825" w:rsidRDefault="00E03E2A" w:rsidP="009951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24825">
        <w:rPr>
          <w:rFonts w:cs="Times New Roman"/>
          <w:sz w:val="24"/>
          <w:szCs w:val="24"/>
        </w:rPr>
        <w:t>contenimento dei tempi di attesa</w:t>
      </w:r>
    </w:p>
    <w:p w:rsidR="00E03E2A" w:rsidRPr="00124825" w:rsidRDefault="00E03E2A" w:rsidP="009951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24825">
        <w:rPr>
          <w:rFonts w:cs="Times New Roman"/>
          <w:sz w:val="24"/>
          <w:szCs w:val="24"/>
        </w:rPr>
        <w:t>prevenzione</w:t>
      </w:r>
    </w:p>
    <w:p w:rsidR="00AA3C97" w:rsidRPr="00124825" w:rsidRDefault="00AA3C97" w:rsidP="009951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24825">
        <w:rPr>
          <w:rFonts w:cs="Times New Roman"/>
          <w:sz w:val="24"/>
          <w:szCs w:val="24"/>
        </w:rPr>
        <w:t>gestione del rischio clinico</w:t>
      </w:r>
    </w:p>
    <w:p w:rsidR="00E03E2A" w:rsidRPr="00124825" w:rsidRDefault="00E03E2A" w:rsidP="009951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24825">
        <w:rPr>
          <w:rFonts w:cs="Times New Roman"/>
          <w:sz w:val="24"/>
          <w:szCs w:val="24"/>
        </w:rPr>
        <w:t>assistenza sanitaria</w:t>
      </w:r>
    </w:p>
    <w:p w:rsidR="00E03E2A" w:rsidRPr="00124825" w:rsidRDefault="00E03E2A" w:rsidP="009951C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124825">
        <w:rPr>
          <w:rFonts w:cs="Times New Roman"/>
          <w:sz w:val="24"/>
          <w:szCs w:val="24"/>
        </w:rPr>
        <w:t>miglioramenti gestionali di area vasta</w:t>
      </w:r>
      <w:r w:rsidR="00422258">
        <w:rPr>
          <w:rFonts w:cs="Times New Roman"/>
          <w:sz w:val="24"/>
          <w:szCs w:val="24"/>
        </w:rPr>
        <w:t>.</w:t>
      </w:r>
    </w:p>
    <w:p w:rsidR="00E03E2A" w:rsidRPr="00124825" w:rsidRDefault="00E03E2A" w:rsidP="009D0FEC">
      <w:pPr>
        <w:pStyle w:val="Paragrafoelenco"/>
        <w:ind w:left="360"/>
        <w:jc w:val="both"/>
        <w:rPr>
          <w:sz w:val="24"/>
          <w:szCs w:val="24"/>
        </w:rPr>
      </w:pPr>
    </w:p>
    <w:p w:rsidR="006D3D68" w:rsidRDefault="006D3D68" w:rsidP="00511302">
      <w:pPr>
        <w:pStyle w:val="Paragrafoelenco"/>
        <w:ind w:left="0"/>
        <w:jc w:val="both"/>
        <w:rPr>
          <w:sz w:val="24"/>
          <w:szCs w:val="24"/>
        </w:rPr>
      </w:pPr>
      <w:r w:rsidRPr="00124825">
        <w:rPr>
          <w:sz w:val="24"/>
          <w:szCs w:val="24"/>
        </w:rPr>
        <w:t xml:space="preserve">Dalla </w:t>
      </w:r>
      <w:r w:rsidR="000578B2">
        <w:rPr>
          <w:sz w:val="24"/>
          <w:szCs w:val="24"/>
        </w:rPr>
        <w:t xml:space="preserve">sintesi della programmazione aziendale </w:t>
      </w:r>
      <w:r w:rsidR="00511302" w:rsidRPr="000578B2">
        <w:rPr>
          <w:sz w:val="24"/>
          <w:szCs w:val="24"/>
        </w:rPr>
        <w:t xml:space="preserve">contenuta nell’allegato 3 alla </w:t>
      </w:r>
      <w:r w:rsidR="007267FA">
        <w:rPr>
          <w:sz w:val="24"/>
          <w:szCs w:val="24"/>
        </w:rPr>
        <w:t>DGR n. 2025 del 31.10.2014 avente per oggetto: “</w:t>
      </w:r>
      <w:r w:rsidR="00511302">
        <w:rPr>
          <w:sz w:val="24"/>
          <w:szCs w:val="24"/>
        </w:rPr>
        <w:t xml:space="preserve">L.R. 49/1996, ART. 29 – Gestione del Servizio Sanitario Regionale nell’anno 2013 – approvazione degli atti relativi al controllo annuale”, </w:t>
      </w:r>
      <w:r w:rsidRPr="00124825">
        <w:rPr>
          <w:sz w:val="24"/>
          <w:szCs w:val="24"/>
        </w:rPr>
        <w:t xml:space="preserve">si evince il sostanziale raggiungimento di tutti gli obiettivi assegnati. </w:t>
      </w:r>
    </w:p>
    <w:p w:rsidR="004470CB" w:rsidRDefault="004470CB" w:rsidP="00511302">
      <w:pPr>
        <w:pStyle w:val="Paragrafoelenco"/>
        <w:ind w:left="0"/>
        <w:jc w:val="both"/>
        <w:rPr>
          <w:sz w:val="24"/>
          <w:szCs w:val="24"/>
        </w:rPr>
      </w:pPr>
    </w:p>
    <w:p w:rsidR="004470CB" w:rsidRDefault="004470CB" w:rsidP="004470C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 seguito si riportano i dati relativi all’attività e alle principali voci di costo degli anni 2012-2013:</w:t>
      </w:r>
    </w:p>
    <w:p w:rsidR="004F1414" w:rsidRPr="00AA3C97" w:rsidRDefault="004F1414" w:rsidP="004F1414">
      <w:pPr>
        <w:spacing w:after="120" w:line="240" w:lineRule="auto"/>
        <w:jc w:val="both"/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  <w:sz w:val="18"/>
          <w:szCs w:val="18"/>
        </w:rPr>
        <w:t>Indicatori LEA</w:t>
      </w:r>
    </w:p>
    <w:p w:rsidR="004F1414" w:rsidRDefault="004F1414" w:rsidP="004470CB">
      <w:pPr>
        <w:spacing w:line="240" w:lineRule="auto"/>
        <w:jc w:val="both"/>
        <w:rPr>
          <w:b/>
          <w:sz w:val="24"/>
          <w:szCs w:val="24"/>
        </w:rPr>
      </w:pPr>
      <w:r w:rsidRPr="004F1414">
        <w:rPr>
          <w:b/>
          <w:noProof/>
          <w:sz w:val="24"/>
          <w:szCs w:val="24"/>
        </w:rPr>
        <w:drawing>
          <wp:inline distT="0" distB="0" distL="0" distR="0">
            <wp:extent cx="6115050" cy="535305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59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1260"/>
        <w:gridCol w:w="1350"/>
      </w:tblGrid>
      <w:tr w:rsidR="004470CB" w:rsidRPr="004470CB" w:rsidTr="00D218CE">
        <w:trPr>
          <w:trHeight w:val="270"/>
        </w:trPr>
        <w:tc>
          <w:tcPr>
            <w:tcW w:w="4988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4470CB" w:rsidRPr="004470CB" w:rsidRDefault="004470CB" w:rsidP="00F47B33">
            <w:pPr>
              <w:spacing w:after="120" w:line="240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4470CB" w:rsidRPr="004470CB" w:rsidRDefault="004470CB" w:rsidP="00F47B33">
            <w:pPr>
              <w:spacing w:after="120" w:line="240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4470CB" w:rsidRPr="004470CB" w:rsidRDefault="004470CB" w:rsidP="00F47B33">
            <w:pPr>
              <w:spacing w:after="120" w:line="240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470CB" w:rsidRPr="007C3476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4470CB" w:rsidRPr="007C3476" w:rsidRDefault="004470CB" w:rsidP="00F47B3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Attività di ricovero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4470CB" w:rsidRPr="007C3476" w:rsidRDefault="004470CB" w:rsidP="00F47B3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Anno </w:t>
            </w: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4470CB" w:rsidRPr="007C3476" w:rsidRDefault="004470CB" w:rsidP="00F47B3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Anno </w:t>
            </w: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2013</w:t>
            </w:r>
          </w:p>
        </w:tc>
      </w:tr>
      <w:tr w:rsidR="004470CB" w:rsidRPr="007C3476" w:rsidTr="00D218CE">
        <w:trPr>
          <w:trHeight w:val="300"/>
        </w:trPr>
        <w:tc>
          <w:tcPr>
            <w:tcW w:w="4988" w:type="dxa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4470CB" w:rsidRPr="007C3476" w:rsidRDefault="004470CB" w:rsidP="00F47B3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Numero ricoveri ordinari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4470CB" w:rsidRPr="007C3476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7C3476">
              <w:rPr>
                <w:rFonts w:ascii="Calibri" w:eastAsia="Times New Roman" w:hAnsi="Calibri" w:cs="Arial"/>
                <w:sz w:val="18"/>
                <w:szCs w:val="18"/>
              </w:rPr>
              <w:t>4.177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4470CB" w:rsidRPr="007C3476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7C3476">
              <w:rPr>
                <w:rFonts w:ascii="Calibri" w:eastAsia="Times New Roman" w:hAnsi="Calibri" w:cs="Arial"/>
                <w:sz w:val="18"/>
                <w:szCs w:val="18"/>
              </w:rPr>
              <w:t>4.136</w:t>
            </w:r>
          </w:p>
        </w:tc>
      </w:tr>
      <w:tr w:rsidR="004470CB" w:rsidRPr="007C3476" w:rsidTr="00D218CE">
        <w:trPr>
          <w:trHeight w:val="256"/>
        </w:trPr>
        <w:tc>
          <w:tcPr>
            <w:tcW w:w="4988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4470CB" w:rsidRPr="007C3476" w:rsidRDefault="004470CB" w:rsidP="00F47B3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 xml:space="preserve">Numero ricoveri </w:t>
            </w:r>
            <w:r w:rsidRPr="007C3476">
              <w:rPr>
                <w:rFonts w:ascii="Calibri" w:eastAsia="Times New Roman" w:hAnsi="Calibri" w:cs="Arial"/>
                <w:sz w:val="18"/>
                <w:szCs w:val="18"/>
              </w:rPr>
              <w:t>DH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4470CB" w:rsidRPr="007C3476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7C3476">
              <w:rPr>
                <w:rFonts w:ascii="Calibri" w:eastAsia="Times New Roman" w:hAnsi="Calibri" w:cs="Arial"/>
                <w:sz w:val="18"/>
                <w:szCs w:val="18"/>
              </w:rPr>
              <w:t>4.681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4470CB" w:rsidRPr="007C3476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7C3476">
              <w:rPr>
                <w:rFonts w:ascii="Calibri" w:eastAsia="Times New Roman" w:hAnsi="Calibri" w:cs="Arial"/>
                <w:sz w:val="18"/>
                <w:szCs w:val="18"/>
              </w:rPr>
              <w:t>4.159</w:t>
            </w:r>
          </w:p>
        </w:tc>
      </w:tr>
      <w:tr w:rsidR="004470CB" w:rsidRPr="007C3476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7C3476" w:rsidRDefault="004470CB" w:rsidP="00F47B33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7C3476">
              <w:rPr>
                <w:rFonts w:ascii="Calibri" w:eastAsia="Times New Roman" w:hAnsi="Calibri" w:cs="Arial"/>
                <w:bCs/>
                <w:sz w:val="18"/>
                <w:szCs w:val="18"/>
              </w:rPr>
              <w:t>TOTALI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7C3476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8.858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7C3476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8.295</w:t>
            </w:r>
          </w:p>
        </w:tc>
      </w:tr>
      <w:tr w:rsidR="004470CB" w:rsidRPr="006A2930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6A2930" w:rsidRDefault="004470CB" w:rsidP="00F47B33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Cs/>
                <w:sz w:val="18"/>
                <w:szCs w:val="18"/>
              </w:rPr>
              <w:t>Peso medio DRG ordinari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bottom"/>
            <w:hideMark/>
          </w:tcPr>
          <w:p w:rsidR="004470CB" w:rsidRPr="003809FD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3809FD">
              <w:rPr>
                <w:rFonts w:ascii="Calibri" w:eastAsia="Times New Roman" w:hAnsi="Calibri" w:cs="Arial"/>
                <w:sz w:val="18"/>
                <w:szCs w:val="18"/>
              </w:rPr>
              <w:t>1,35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bottom"/>
            <w:hideMark/>
          </w:tcPr>
          <w:p w:rsidR="004470CB" w:rsidRPr="003809FD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3809FD">
              <w:rPr>
                <w:rFonts w:ascii="Calibri" w:eastAsia="Times New Roman" w:hAnsi="Calibri" w:cs="Arial"/>
                <w:sz w:val="18"/>
                <w:szCs w:val="18"/>
              </w:rPr>
              <w:t>1,28</w:t>
            </w:r>
          </w:p>
        </w:tc>
      </w:tr>
      <w:tr w:rsidR="004470CB" w:rsidRPr="006A2930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6A2930" w:rsidRDefault="004470CB" w:rsidP="00F47B33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Cs/>
                <w:sz w:val="18"/>
                <w:szCs w:val="18"/>
              </w:rPr>
              <w:t>Degenza media ordinaria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6A2930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Cs/>
                <w:sz w:val="18"/>
                <w:szCs w:val="18"/>
              </w:rPr>
              <w:t>6,09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6A2930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Cs/>
                <w:sz w:val="18"/>
                <w:szCs w:val="18"/>
              </w:rPr>
              <w:t>5,92</w:t>
            </w:r>
          </w:p>
        </w:tc>
      </w:tr>
      <w:tr w:rsidR="004470CB" w:rsidRPr="006A2930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6A2930" w:rsidRDefault="004470CB" w:rsidP="00F47B33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Provenienza (ordinari e day hospital): 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bottom"/>
            <w:hideMark/>
          </w:tcPr>
          <w:p w:rsidR="004470CB" w:rsidRPr="003809FD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bottom"/>
            <w:hideMark/>
          </w:tcPr>
          <w:p w:rsidR="004470CB" w:rsidRPr="003809FD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470CB" w:rsidRPr="006A2930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6A2930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Cs/>
                <w:sz w:val="18"/>
                <w:szCs w:val="18"/>
              </w:rPr>
              <w:t>regionale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bottom"/>
            <w:hideMark/>
          </w:tcPr>
          <w:p w:rsidR="004470CB" w:rsidRPr="003809FD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3809FD">
              <w:rPr>
                <w:rFonts w:ascii="Calibri" w:eastAsia="Times New Roman" w:hAnsi="Calibri" w:cs="Arial"/>
                <w:sz w:val="18"/>
                <w:szCs w:val="18"/>
              </w:rPr>
              <w:t>47,26%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bottom"/>
            <w:hideMark/>
          </w:tcPr>
          <w:p w:rsidR="004470CB" w:rsidRPr="003809FD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3809FD">
              <w:rPr>
                <w:rFonts w:ascii="Calibri" w:eastAsia="Times New Roman" w:hAnsi="Calibri" w:cs="Arial"/>
                <w:sz w:val="18"/>
                <w:szCs w:val="18"/>
              </w:rPr>
              <w:t>48,00%</w:t>
            </w:r>
          </w:p>
        </w:tc>
      </w:tr>
      <w:tr w:rsidR="004470CB" w:rsidRPr="006A2930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center"/>
            <w:hideMark/>
          </w:tcPr>
          <w:p w:rsidR="004470CB" w:rsidRPr="006A2930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Cs/>
                <w:sz w:val="18"/>
                <w:szCs w:val="18"/>
              </w:rPr>
              <w:t>extra-regionale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bottom"/>
            <w:hideMark/>
          </w:tcPr>
          <w:p w:rsidR="004470CB" w:rsidRPr="003809FD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3809FD">
              <w:rPr>
                <w:rFonts w:ascii="Calibri" w:eastAsia="Times New Roman" w:hAnsi="Calibri" w:cs="Arial"/>
                <w:sz w:val="18"/>
                <w:szCs w:val="18"/>
              </w:rPr>
              <w:t>52,74%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auto"/>
            <w:vAlign w:val="bottom"/>
            <w:hideMark/>
          </w:tcPr>
          <w:p w:rsidR="004470CB" w:rsidRPr="003809FD" w:rsidRDefault="004470CB" w:rsidP="00F47B3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3809FD">
              <w:rPr>
                <w:rFonts w:ascii="Calibri" w:eastAsia="Times New Roman" w:hAnsi="Calibri" w:cs="Arial"/>
                <w:sz w:val="18"/>
                <w:szCs w:val="18"/>
              </w:rPr>
              <w:t>52,00%</w:t>
            </w:r>
          </w:p>
        </w:tc>
      </w:tr>
    </w:tbl>
    <w:p w:rsidR="00AA3C97" w:rsidRDefault="00AA3C97" w:rsidP="005C5CCC"/>
    <w:tbl>
      <w:tblPr>
        <w:tblW w:w="759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1260"/>
        <w:gridCol w:w="1350"/>
      </w:tblGrid>
      <w:tr w:rsidR="00F9436F" w:rsidRPr="006A2930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F9436F" w:rsidRPr="007C3476" w:rsidRDefault="00F9436F" w:rsidP="00EF0B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Attività di specialistica ambulatoriale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F9436F" w:rsidRPr="007C3476" w:rsidRDefault="00F9436F" w:rsidP="00405B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Anno </w:t>
            </w: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F9436F" w:rsidRPr="007C3476" w:rsidRDefault="00F9436F" w:rsidP="00405B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Anno </w:t>
            </w: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2013</w:t>
            </w:r>
          </w:p>
        </w:tc>
      </w:tr>
      <w:tr w:rsidR="003809FD" w:rsidRPr="006A2930" w:rsidTr="00D218CE">
        <w:trPr>
          <w:trHeight w:val="246"/>
        </w:trPr>
        <w:tc>
          <w:tcPr>
            <w:tcW w:w="4988" w:type="dxa"/>
            <w:tcBorders>
              <w:top w:val="nil"/>
              <w:left w:val="single" w:sz="8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3809FD" w:rsidRPr="007C3476" w:rsidRDefault="003809FD" w:rsidP="00405BF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numero prestazioni specialistiche per esterni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3809FD" w:rsidRPr="006A2930" w:rsidRDefault="003809FD" w:rsidP="00EF0B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383</w:t>
            </w:r>
            <w:r w:rsidR="00EF0BC2" w:rsidRPr="006A2930">
              <w:rPr>
                <w:rFonts w:ascii="Calibri" w:eastAsia="Times New Roman" w:hAnsi="Calibri" w:cs="Arial"/>
                <w:sz w:val="18"/>
                <w:szCs w:val="18"/>
              </w:rPr>
              <w:t>.</w:t>
            </w: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914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3809FD" w:rsidRPr="006A2930" w:rsidRDefault="003809FD" w:rsidP="00EF0B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378</w:t>
            </w:r>
            <w:r w:rsidR="00EF0BC2" w:rsidRPr="006A2930">
              <w:rPr>
                <w:rFonts w:ascii="Calibri" w:eastAsia="Times New Roman" w:hAnsi="Calibri" w:cs="Arial"/>
                <w:sz w:val="18"/>
                <w:szCs w:val="18"/>
              </w:rPr>
              <w:t>.</w:t>
            </w: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740</w:t>
            </w:r>
          </w:p>
        </w:tc>
      </w:tr>
    </w:tbl>
    <w:p w:rsidR="00376705" w:rsidRPr="006A2930" w:rsidRDefault="00376705" w:rsidP="001B0D30">
      <w:pPr>
        <w:jc w:val="both"/>
        <w:rPr>
          <w:rFonts w:ascii="Calibri" w:hAnsi="Calibri"/>
          <w:b/>
          <w:sz w:val="18"/>
          <w:szCs w:val="18"/>
        </w:rPr>
      </w:pPr>
    </w:p>
    <w:tbl>
      <w:tblPr>
        <w:tblW w:w="759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1260"/>
        <w:gridCol w:w="1350"/>
      </w:tblGrid>
      <w:tr w:rsidR="00F9436F" w:rsidRPr="006A2930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F9436F" w:rsidRPr="007C3476" w:rsidRDefault="00F9436F" w:rsidP="00EF0BC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Attività di ricerca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F9436F" w:rsidRPr="007C3476" w:rsidRDefault="00F9436F" w:rsidP="00405B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Anno </w:t>
            </w: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F9436F" w:rsidRPr="007C3476" w:rsidRDefault="00F9436F" w:rsidP="00405B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Anno </w:t>
            </w: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2013</w:t>
            </w:r>
          </w:p>
        </w:tc>
      </w:tr>
      <w:tr w:rsidR="00EF0BC2" w:rsidRPr="006A2930" w:rsidTr="00D218CE">
        <w:trPr>
          <w:trHeight w:val="300"/>
        </w:trPr>
        <w:tc>
          <w:tcPr>
            <w:tcW w:w="4988" w:type="dxa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EF0BC2" w:rsidRPr="007C3476" w:rsidRDefault="00EF0BC2" w:rsidP="00405BF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Numero pubblicazione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EF0BC2" w:rsidRPr="006A2930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249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EF0BC2" w:rsidRPr="006A2930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255</w:t>
            </w:r>
          </w:p>
        </w:tc>
      </w:tr>
      <w:tr w:rsidR="00EF0BC2" w:rsidRPr="006A2930" w:rsidTr="00D218CE">
        <w:trPr>
          <w:trHeight w:val="328"/>
        </w:trPr>
        <w:tc>
          <w:tcPr>
            <w:tcW w:w="498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EF0BC2" w:rsidRPr="006A2930" w:rsidRDefault="00EF0BC2" w:rsidP="00405BF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 xml:space="preserve">Impact factor </w:t>
            </w:r>
          </w:p>
        </w:tc>
        <w:tc>
          <w:tcPr>
            <w:tcW w:w="126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EF0BC2" w:rsidRPr="006A2930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1078,9</w:t>
            </w:r>
          </w:p>
        </w:tc>
        <w:tc>
          <w:tcPr>
            <w:tcW w:w="135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EF0BC2" w:rsidRPr="006A2930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sz w:val="18"/>
                <w:szCs w:val="18"/>
              </w:rPr>
              <w:t>1039,3</w:t>
            </w:r>
          </w:p>
        </w:tc>
      </w:tr>
    </w:tbl>
    <w:p w:rsidR="003809FD" w:rsidRPr="006A2930" w:rsidRDefault="003809FD" w:rsidP="001B0D30">
      <w:pPr>
        <w:jc w:val="both"/>
        <w:rPr>
          <w:rFonts w:ascii="Calibri" w:hAnsi="Calibri"/>
          <w:b/>
          <w:sz w:val="18"/>
          <w:szCs w:val="18"/>
        </w:rPr>
      </w:pPr>
    </w:p>
    <w:tbl>
      <w:tblPr>
        <w:tblW w:w="759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8"/>
        <w:gridCol w:w="1260"/>
        <w:gridCol w:w="1350"/>
      </w:tblGrid>
      <w:tr w:rsidR="00F9436F" w:rsidRPr="006A2930" w:rsidTr="00D218CE">
        <w:trPr>
          <w:trHeight w:val="345"/>
        </w:trPr>
        <w:tc>
          <w:tcPr>
            <w:tcW w:w="49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F9436F" w:rsidRPr="007C3476" w:rsidRDefault="00F9436F" w:rsidP="00405B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Forza Lavoro al 31 dicembre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F9436F" w:rsidRPr="007C3476" w:rsidRDefault="00F9436F" w:rsidP="00405B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Anno </w:t>
            </w: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8" w:space="0" w:color="008000"/>
              <w:right w:val="single" w:sz="4" w:space="0" w:color="008000"/>
            </w:tcBorders>
            <w:shd w:val="clear" w:color="000000" w:fill="92D050"/>
            <w:vAlign w:val="center"/>
            <w:hideMark/>
          </w:tcPr>
          <w:p w:rsidR="00F9436F" w:rsidRPr="007C3476" w:rsidRDefault="00F9436F" w:rsidP="00405BF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A2930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Anno </w:t>
            </w:r>
            <w:r w:rsidRPr="007C3476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2013</w:t>
            </w:r>
          </w:p>
        </w:tc>
      </w:tr>
      <w:tr w:rsidR="00F9436F" w:rsidRPr="006A2930" w:rsidTr="00D218CE">
        <w:trPr>
          <w:trHeight w:val="300"/>
        </w:trPr>
        <w:tc>
          <w:tcPr>
            <w:tcW w:w="4988" w:type="dxa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7C3476" w:rsidRDefault="00F9436F" w:rsidP="00405BF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F943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Ruolo sanitario</w:t>
            </w:r>
          </w:p>
        </w:tc>
        <w:tc>
          <w:tcPr>
            <w:tcW w:w="126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BD464A" w:rsidP="00405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400,40</w:t>
            </w:r>
          </w:p>
        </w:tc>
        <w:tc>
          <w:tcPr>
            <w:tcW w:w="1350" w:type="dxa"/>
            <w:tcBorders>
              <w:top w:val="single" w:sz="8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BD464A" w:rsidP="00405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397,90</w:t>
            </w:r>
          </w:p>
        </w:tc>
      </w:tr>
      <w:tr w:rsidR="00F9436F" w:rsidRPr="006A2930" w:rsidTr="00D218CE">
        <w:trPr>
          <w:trHeight w:val="328"/>
        </w:trPr>
        <w:tc>
          <w:tcPr>
            <w:tcW w:w="498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6A2930" w:rsidRDefault="00F9436F" w:rsidP="00405BF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F943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Ruolo professionale</w:t>
            </w:r>
          </w:p>
        </w:tc>
        <w:tc>
          <w:tcPr>
            <w:tcW w:w="126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AA3C97" w:rsidP="00405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AA3C97" w:rsidP="00405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F9436F" w:rsidRPr="006A2930" w:rsidTr="00D218CE">
        <w:trPr>
          <w:trHeight w:val="328"/>
        </w:trPr>
        <w:tc>
          <w:tcPr>
            <w:tcW w:w="498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6A2930" w:rsidRDefault="00F9436F" w:rsidP="00405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943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Ruolo tecnico</w:t>
            </w:r>
          </w:p>
        </w:tc>
        <w:tc>
          <w:tcPr>
            <w:tcW w:w="126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BD464A" w:rsidP="00405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139,87</w:t>
            </w:r>
          </w:p>
        </w:tc>
        <w:tc>
          <w:tcPr>
            <w:tcW w:w="135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BD464A" w:rsidP="00405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136,03</w:t>
            </w:r>
          </w:p>
        </w:tc>
      </w:tr>
      <w:tr w:rsidR="00F9436F" w:rsidRPr="006A2930" w:rsidTr="00D218CE">
        <w:trPr>
          <w:trHeight w:val="328"/>
        </w:trPr>
        <w:tc>
          <w:tcPr>
            <w:tcW w:w="498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6A2930" w:rsidRDefault="00F9436F" w:rsidP="00405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943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Ruolo amministrativo</w:t>
            </w:r>
          </w:p>
        </w:tc>
        <w:tc>
          <w:tcPr>
            <w:tcW w:w="126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BD464A" w:rsidP="00405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66,03</w:t>
            </w:r>
          </w:p>
        </w:tc>
        <w:tc>
          <w:tcPr>
            <w:tcW w:w="135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BD464A" w:rsidP="00405B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63,03</w:t>
            </w:r>
          </w:p>
        </w:tc>
      </w:tr>
      <w:tr w:rsidR="00F9436F" w:rsidRPr="006A2930" w:rsidTr="00D218CE">
        <w:trPr>
          <w:trHeight w:val="328"/>
        </w:trPr>
        <w:tc>
          <w:tcPr>
            <w:tcW w:w="498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6A2930" w:rsidRDefault="00F9436F" w:rsidP="00405B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A293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totali</w:t>
            </w:r>
          </w:p>
        </w:tc>
        <w:tc>
          <w:tcPr>
            <w:tcW w:w="126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BD464A" w:rsidP="00405BF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608,3</w:t>
            </w:r>
          </w:p>
        </w:tc>
        <w:tc>
          <w:tcPr>
            <w:tcW w:w="1350" w:type="dxa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:rsidR="00F9436F" w:rsidRPr="00F9436F" w:rsidRDefault="00BD464A" w:rsidP="00405BF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598,97</w:t>
            </w:r>
          </w:p>
        </w:tc>
      </w:tr>
    </w:tbl>
    <w:p w:rsidR="00F9436F" w:rsidRPr="00AA3C97" w:rsidRDefault="00AA3C97" w:rsidP="004470CB">
      <w:pPr>
        <w:ind w:left="142"/>
        <w:jc w:val="both"/>
        <w:rPr>
          <w:rFonts w:ascii="Calibri" w:hAnsi="Calibri"/>
          <w:sz w:val="16"/>
          <w:szCs w:val="16"/>
        </w:rPr>
      </w:pPr>
      <w:r w:rsidRPr="00AA3C97">
        <w:rPr>
          <w:rFonts w:ascii="Calibri" w:hAnsi="Calibri"/>
          <w:sz w:val="16"/>
          <w:szCs w:val="16"/>
        </w:rPr>
        <w:t>La tabella non considera il personale a tempo determinato finanziato con fondi di ricerca.</w:t>
      </w:r>
    </w:p>
    <w:tbl>
      <w:tblPr>
        <w:tblW w:w="39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041"/>
        <w:gridCol w:w="1259"/>
        <w:gridCol w:w="1351"/>
      </w:tblGrid>
      <w:tr w:rsidR="00F9436F" w:rsidRPr="006A2930" w:rsidTr="005C5CCC">
        <w:trPr>
          <w:trHeight w:val="315"/>
        </w:trPr>
        <w:tc>
          <w:tcPr>
            <w:tcW w:w="1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36F" w:rsidRPr="00EF0BC2" w:rsidRDefault="00F9436F" w:rsidP="00EF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9436F" w:rsidRPr="00EF0BC2" w:rsidRDefault="00AA3C97" w:rsidP="00AA3C97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Conto Economico redatto secondo lo scheda regionale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9436F" w:rsidRPr="007C3476" w:rsidRDefault="00F9436F" w:rsidP="00AA3C97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AA3C97">
              <w:rPr>
                <w:rFonts w:ascii="Calibri" w:hAnsi="Calibri"/>
                <w:b/>
                <w:sz w:val="18"/>
                <w:szCs w:val="18"/>
              </w:rPr>
              <w:t xml:space="preserve">Anno </w:t>
            </w:r>
            <w:r w:rsidRPr="007C3476">
              <w:rPr>
                <w:rFonts w:ascii="Calibri" w:hAnsi="Calibri"/>
                <w:b/>
                <w:sz w:val="18"/>
                <w:szCs w:val="18"/>
              </w:rPr>
              <w:t>2012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9436F" w:rsidRPr="007C3476" w:rsidRDefault="00F9436F" w:rsidP="00AA3C97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AA3C97">
              <w:rPr>
                <w:rFonts w:ascii="Calibri" w:hAnsi="Calibri"/>
                <w:b/>
                <w:sz w:val="18"/>
                <w:szCs w:val="18"/>
              </w:rPr>
              <w:t xml:space="preserve">Anno </w:t>
            </w:r>
            <w:r w:rsidRPr="007C3476">
              <w:rPr>
                <w:rFonts w:ascii="Calibri" w:hAnsi="Calibri"/>
                <w:b/>
                <w:sz w:val="18"/>
                <w:szCs w:val="18"/>
              </w:rPr>
              <w:t>2013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VALORE DELLA PRODUZIONE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96.182.581,0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94.865.475,0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COSTI DELLA PRODUZIONE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(91.912.980,0)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(90.639.809,0)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Acquisti di beni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(29.867.056,0)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(28.565.817,0)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Acquisti di servizi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(11.477.795,0)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(13.293.561,0)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Godimento di beni di terzi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(1.358.215,0)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(1.032.189,0)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Costi del personale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(38.527.092,0)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(38.066.971,0)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Costi generali ed oneri diversi di gestione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(4.156.146,0)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(3.821.245,0)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Ammortamenti e svalutazioni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(4.651.261,0)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(4.585.949,0)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Variazione delle rimanenze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(655.005,0)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32.888,0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Accantonamenti per rischi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(1.220.410,0)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(1.306.965,0)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PROVENTI E ONERI FINANZIARI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18.150,0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(340.360,0)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PROVENTI E ONERI STRAORDINARI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508.127,0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(76.397,0)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Imposte sul reddito dell'esercizio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(59.948,0)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(58.084,0)</w:t>
            </w:r>
          </w:p>
        </w:tc>
      </w:tr>
      <w:tr w:rsidR="006C4482" w:rsidRPr="006A2930" w:rsidTr="005C5CCC">
        <w:trPr>
          <w:trHeight w:val="300"/>
        </w:trPr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EF0B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UTILE/PERDITA DELL'ESERCIZIO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4.735.930,0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BC2" w:rsidRPr="00EF0BC2" w:rsidRDefault="00EF0BC2" w:rsidP="006C44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F0BC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3.750.825,0</w:t>
            </w:r>
          </w:p>
        </w:tc>
      </w:tr>
    </w:tbl>
    <w:p w:rsidR="00927899" w:rsidRDefault="00927899" w:rsidP="001B0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 </w:t>
      </w:r>
      <w:r w:rsidR="001D4793" w:rsidRPr="00927899">
        <w:rPr>
          <w:b/>
          <w:sz w:val="28"/>
          <w:szCs w:val="28"/>
        </w:rPr>
        <w:t>Gestione per budget</w:t>
      </w:r>
      <w:r w:rsidR="004A63EC">
        <w:rPr>
          <w:b/>
          <w:sz w:val="28"/>
          <w:szCs w:val="28"/>
        </w:rPr>
        <w:fldChar w:fldCharType="begin"/>
      </w:r>
      <w:r w:rsidR="00F47B33">
        <w:instrText xml:space="preserve"> XE "</w:instrText>
      </w:r>
      <w:r w:rsidR="00F47B33" w:rsidRPr="005661A4">
        <w:rPr>
          <w:b/>
          <w:sz w:val="28"/>
          <w:szCs w:val="28"/>
        </w:rPr>
        <w:instrText>4 Gestione per budget</w:instrText>
      </w:r>
      <w:r w:rsidR="00F47B33">
        <w:instrText xml:space="preserve">" </w:instrText>
      </w:r>
      <w:r w:rsidR="004A63EC">
        <w:rPr>
          <w:b/>
          <w:sz w:val="28"/>
          <w:szCs w:val="28"/>
        </w:rPr>
        <w:fldChar w:fldCharType="end"/>
      </w:r>
    </w:p>
    <w:p w:rsidR="00927899" w:rsidRDefault="00927899" w:rsidP="0092789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4.1 </w:t>
      </w:r>
      <w:r w:rsidR="009030D0" w:rsidRPr="00927899">
        <w:rPr>
          <w:b/>
          <w:sz w:val="26"/>
          <w:szCs w:val="26"/>
        </w:rPr>
        <w:t>Definizione degli obiettivi</w:t>
      </w:r>
      <w:r w:rsidR="004A63EC">
        <w:rPr>
          <w:b/>
          <w:sz w:val="26"/>
          <w:szCs w:val="26"/>
        </w:rPr>
        <w:fldChar w:fldCharType="begin"/>
      </w:r>
      <w:r w:rsidR="00F47B33">
        <w:instrText xml:space="preserve"> XE "</w:instrText>
      </w:r>
      <w:r w:rsidR="00F47B33" w:rsidRPr="006F424A">
        <w:rPr>
          <w:b/>
          <w:sz w:val="26"/>
          <w:szCs w:val="26"/>
        </w:rPr>
        <w:instrText>4.1 Definizione degli obiettivi</w:instrText>
      </w:r>
      <w:r w:rsidR="00F47B33">
        <w:instrText xml:space="preserve">" </w:instrText>
      </w:r>
      <w:r w:rsidR="004A63EC">
        <w:rPr>
          <w:b/>
          <w:sz w:val="26"/>
          <w:szCs w:val="26"/>
        </w:rPr>
        <w:fldChar w:fldCharType="end"/>
      </w:r>
    </w:p>
    <w:p w:rsidR="00927899" w:rsidRPr="00927899" w:rsidRDefault="00927899" w:rsidP="005C5CCC">
      <w:pPr>
        <w:pStyle w:val="Default"/>
        <w:jc w:val="both"/>
        <w:rPr>
          <w:rFonts w:asciiTheme="minorHAnsi" w:hAnsiTheme="minorHAnsi" w:cs="Times New Roman"/>
          <w:color w:val="auto"/>
          <w:sz w:val="16"/>
          <w:szCs w:val="16"/>
        </w:rPr>
      </w:pPr>
    </w:p>
    <w:p w:rsidR="008122D5" w:rsidRPr="002703D2" w:rsidRDefault="00BA2F7C" w:rsidP="005C5CCC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2703D2">
        <w:rPr>
          <w:rFonts w:asciiTheme="minorHAnsi" w:hAnsiTheme="minorHAnsi" w:cs="Times New Roman"/>
          <w:color w:val="auto"/>
        </w:rPr>
        <w:t xml:space="preserve">Partendo dagli obiettivi strategici </w:t>
      </w:r>
      <w:r w:rsidR="008122D5" w:rsidRPr="002703D2">
        <w:rPr>
          <w:rFonts w:asciiTheme="minorHAnsi" w:hAnsiTheme="minorHAnsi" w:cs="Times New Roman"/>
          <w:color w:val="auto"/>
        </w:rPr>
        <w:t>definiti</w:t>
      </w:r>
      <w:r w:rsidRPr="002703D2">
        <w:rPr>
          <w:rFonts w:asciiTheme="minorHAnsi" w:hAnsiTheme="minorHAnsi" w:cs="Times New Roman"/>
          <w:color w:val="auto"/>
        </w:rPr>
        <w:t xml:space="preserve"> nel programma annuale, l’Is</w:t>
      </w:r>
      <w:r w:rsidR="007B7AF5" w:rsidRPr="002703D2">
        <w:rPr>
          <w:rFonts w:asciiTheme="minorHAnsi" w:hAnsiTheme="minorHAnsi" w:cs="Times New Roman"/>
          <w:color w:val="auto"/>
        </w:rPr>
        <w:t>t</w:t>
      </w:r>
      <w:r w:rsidRPr="002703D2">
        <w:rPr>
          <w:rFonts w:asciiTheme="minorHAnsi" w:hAnsiTheme="minorHAnsi" w:cs="Times New Roman"/>
          <w:color w:val="auto"/>
        </w:rPr>
        <w:t xml:space="preserve">ituto ha avviato il percorso di budget attraverso il quale i responsabili delle “unità operative” </w:t>
      </w:r>
      <w:r w:rsidR="008122D5" w:rsidRPr="002703D2">
        <w:rPr>
          <w:rFonts w:asciiTheme="minorHAnsi" w:hAnsiTheme="minorHAnsi" w:cs="Times New Roman"/>
          <w:color w:val="auto"/>
        </w:rPr>
        <w:t>sono stati</w:t>
      </w:r>
      <w:r w:rsidRPr="002703D2">
        <w:rPr>
          <w:rFonts w:asciiTheme="minorHAnsi" w:hAnsiTheme="minorHAnsi" w:cs="Times New Roman"/>
          <w:color w:val="auto"/>
        </w:rPr>
        <w:t xml:space="preserve"> portati a conoscenza dell’evoluzione definitiva della programmazione aziendale per il 2013 e </w:t>
      </w:r>
      <w:r w:rsidR="008122D5" w:rsidRPr="002703D2">
        <w:rPr>
          <w:rFonts w:asciiTheme="minorHAnsi" w:hAnsiTheme="minorHAnsi" w:cs="Times New Roman"/>
          <w:color w:val="auto"/>
        </w:rPr>
        <w:t xml:space="preserve">hanno </w:t>
      </w:r>
      <w:r w:rsidRPr="002703D2">
        <w:rPr>
          <w:rFonts w:asciiTheme="minorHAnsi" w:hAnsiTheme="minorHAnsi" w:cs="Times New Roman"/>
          <w:color w:val="auto"/>
        </w:rPr>
        <w:t>concerta</w:t>
      </w:r>
      <w:r w:rsidR="008122D5" w:rsidRPr="002703D2">
        <w:rPr>
          <w:rFonts w:asciiTheme="minorHAnsi" w:hAnsiTheme="minorHAnsi" w:cs="Times New Roman"/>
          <w:color w:val="auto"/>
        </w:rPr>
        <w:t>to</w:t>
      </w:r>
      <w:r w:rsidRPr="002703D2">
        <w:rPr>
          <w:rFonts w:asciiTheme="minorHAnsi" w:hAnsiTheme="minorHAnsi" w:cs="Times New Roman"/>
          <w:color w:val="auto"/>
        </w:rPr>
        <w:t xml:space="preserve"> con </w:t>
      </w:r>
      <w:r w:rsidR="008122D5" w:rsidRPr="002703D2">
        <w:rPr>
          <w:rFonts w:asciiTheme="minorHAnsi" w:hAnsiTheme="minorHAnsi" w:cs="Times New Roman"/>
          <w:color w:val="auto"/>
        </w:rPr>
        <w:t>l</w:t>
      </w:r>
      <w:r w:rsidRPr="002703D2">
        <w:rPr>
          <w:rFonts w:asciiTheme="minorHAnsi" w:hAnsiTheme="minorHAnsi" w:cs="Times New Roman"/>
          <w:color w:val="auto"/>
        </w:rPr>
        <w:t>e direzioni dell’Istituto le modalità più adeguate per conseguire gli obiettivi a questo assegnati con le risorse disponibili</w:t>
      </w:r>
      <w:r w:rsidR="008122D5" w:rsidRPr="002703D2">
        <w:rPr>
          <w:rFonts w:asciiTheme="minorHAnsi" w:hAnsiTheme="minorHAnsi" w:cs="Times New Roman"/>
          <w:color w:val="auto"/>
        </w:rPr>
        <w:t xml:space="preserve">. </w:t>
      </w:r>
    </w:p>
    <w:p w:rsidR="00051DB7" w:rsidRPr="002703D2" w:rsidRDefault="00051DB7" w:rsidP="005C5CCC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2703D2">
        <w:rPr>
          <w:rFonts w:asciiTheme="minorHAnsi" w:hAnsiTheme="minorHAnsi" w:cs="Times New Roman"/>
          <w:color w:val="auto"/>
        </w:rPr>
        <w:t>Il percorso si è sviluppato secondo la seguente cronologia:</w:t>
      </w:r>
    </w:p>
    <w:p w:rsidR="00051DB7" w:rsidRPr="009951C8" w:rsidRDefault="00051DB7" w:rsidP="009951C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 w:rsidRPr="009951C8">
        <w:rPr>
          <w:spacing w:val="-6"/>
          <w:sz w:val="24"/>
          <w:szCs w:val="24"/>
        </w:rPr>
        <w:t>individuazione dei criteri per la predisposizione delle schede di budget 2013 ed esame degli stessi da parte dell’Organismo Indipendente di Valutazione</w:t>
      </w:r>
      <w:r w:rsidR="00431E54">
        <w:rPr>
          <w:spacing w:val="-6"/>
          <w:sz w:val="24"/>
          <w:szCs w:val="24"/>
        </w:rPr>
        <w:t xml:space="preserve"> </w:t>
      </w:r>
      <w:r w:rsidR="006D3D68">
        <w:rPr>
          <w:spacing w:val="-6"/>
          <w:sz w:val="24"/>
          <w:szCs w:val="24"/>
        </w:rPr>
        <w:t>(nella seduta del 21.01.2014)</w:t>
      </w:r>
      <w:r w:rsidRPr="009951C8">
        <w:rPr>
          <w:spacing w:val="-6"/>
          <w:sz w:val="24"/>
          <w:szCs w:val="24"/>
        </w:rPr>
        <w:t>;</w:t>
      </w:r>
    </w:p>
    <w:p w:rsidR="00051DB7" w:rsidRPr="009951C8" w:rsidRDefault="00051DB7" w:rsidP="009951C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 w:rsidRPr="009951C8">
        <w:rPr>
          <w:spacing w:val="-6"/>
          <w:sz w:val="24"/>
          <w:szCs w:val="24"/>
        </w:rPr>
        <w:t>predisposizione della documentazione di budget da parte delle direzioni;</w:t>
      </w:r>
    </w:p>
    <w:p w:rsidR="00051DB7" w:rsidRPr="009951C8" w:rsidRDefault="00051DB7" w:rsidP="009951C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 w:rsidRPr="009951C8">
        <w:rPr>
          <w:spacing w:val="-6"/>
          <w:sz w:val="24"/>
          <w:szCs w:val="24"/>
        </w:rPr>
        <w:t xml:space="preserve">svolgimento della prima serie di incontri di negoziazione di budget con la direzione strategica nelle giornate del 6, 7 e 21 febbraio 2013 a cui hanno partecipato i direttori di dipartimento, di struttura complessa, di struttura semplice dipartimentale, le posizioni organizzative e, per il dipartimento chirurgico, il coordinatore del gruppo operatorio, aggregati </w:t>
      </w:r>
      <w:r w:rsidR="00D646CB">
        <w:rPr>
          <w:spacing w:val="-6"/>
          <w:sz w:val="24"/>
          <w:szCs w:val="24"/>
        </w:rPr>
        <w:t>per dipartimento</w:t>
      </w:r>
      <w:r w:rsidRPr="009951C8">
        <w:rPr>
          <w:spacing w:val="-6"/>
          <w:sz w:val="24"/>
          <w:szCs w:val="24"/>
        </w:rPr>
        <w:t>;</w:t>
      </w:r>
    </w:p>
    <w:p w:rsidR="00051DB7" w:rsidRPr="009951C8" w:rsidRDefault="00051DB7" w:rsidP="009951C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 w:rsidRPr="009951C8">
        <w:rPr>
          <w:spacing w:val="-6"/>
          <w:sz w:val="24"/>
          <w:szCs w:val="24"/>
        </w:rPr>
        <w:t>discussione delle schede di budget all’interno dei dipartimenti e delle strutture operative;</w:t>
      </w:r>
    </w:p>
    <w:p w:rsidR="00051DB7" w:rsidRPr="009951C8" w:rsidRDefault="00051DB7" w:rsidP="009951C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 w:rsidRPr="009951C8">
        <w:rPr>
          <w:spacing w:val="-6"/>
          <w:sz w:val="24"/>
          <w:szCs w:val="24"/>
        </w:rPr>
        <w:t>confronto conclusivo nelle giornate del 21, 25 e 26 febbraio 2013 tra i soggetti di cui al punto 3.;</w:t>
      </w:r>
    </w:p>
    <w:p w:rsidR="00051DB7" w:rsidRPr="009951C8" w:rsidRDefault="00693488" w:rsidP="009951C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elaborazione</w:t>
      </w:r>
      <w:r w:rsidR="00051DB7" w:rsidRPr="009951C8">
        <w:rPr>
          <w:spacing w:val="-6"/>
          <w:sz w:val="24"/>
          <w:szCs w:val="24"/>
        </w:rPr>
        <w:t xml:space="preserve"> definitiva da parte delle direzioni delle schede di budget:</w:t>
      </w:r>
    </w:p>
    <w:p w:rsidR="00051DB7" w:rsidRPr="009951C8" w:rsidRDefault="00051DB7" w:rsidP="009951C8">
      <w:pPr>
        <w:numPr>
          <w:ilvl w:val="0"/>
          <w:numId w:val="5"/>
        </w:numPr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 w:rsidRPr="009951C8">
        <w:rPr>
          <w:spacing w:val="-6"/>
          <w:sz w:val="24"/>
          <w:szCs w:val="24"/>
        </w:rPr>
        <w:t>di struttura operativa (area dirigenza);</w:t>
      </w:r>
    </w:p>
    <w:p w:rsidR="00051DB7" w:rsidRPr="009951C8" w:rsidRDefault="00051DB7" w:rsidP="009951C8">
      <w:pPr>
        <w:numPr>
          <w:ilvl w:val="0"/>
          <w:numId w:val="5"/>
        </w:numPr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 w:rsidRPr="009951C8">
        <w:rPr>
          <w:spacing w:val="-6"/>
          <w:sz w:val="24"/>
          <w:szCs w:val="24"/>
        </w:rPr>
        <w:t>di dipartimento (area comparto);</w:t>
      </w:r>
    </w:p>
    <w:p w:rsidR="00051DB7" w:rsidRPr="009951C8" w:rsidRDefault="00693488" w:rsidP="009951C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progettazione</w:t>
      </w:r>
      <w:r w:rsidR="00051DB7" w:rsidRPr="009951C8">
        <w:rPr>
          <w:spacing w:val="-6"/>
          <w:sz w:val="24"/>
          <w:szCs w:val="24"/>
        </w:rPr>
        <w:t xml:space="preserve"> da parte delle direzioni delle schede di budget delle tecnostrutture sanitaria, scientifica e amministrativa e delle funzioni di staff del Direttore Generale;</w:t>
      </w:r>
    </w:p>
    <w:p w:rsidR="00051DB7" w:rsidRPr="009951C8" w:rsidRDefault="00051DB7" w:rsidP="009951C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 w:rsidRPr="009951C8">
        <w:rPr>
          <w:spacing w:val="-6"/>
          <w:sz w:val="24"/>
          <w:szCs w:val="24"/>
        </w:rPr>
        <w:t>trasmissione delle schede di budget ai responsabili di budget con nota del Direttore Generale (prot. 3596/DG) con invito a restituirne copia firmata dal responsabile ed a comunicarne i contenuti ai collaboratori tramite firma di presa visione;</w:t>
      </w:r>
    </w:p>
    <w:p w:rsidR="00051DB7" w:rsidRPr="009951C8" w:rsidRDefault="00051DB7" w:rsidP="009951C8">
      <w:pPr>
        <w:numPr>
          <w:ilvl w:val="0"/>
          <w:numId w:val="4"/>
        </w:numPr>
        <w:tabs>
          <w:tab w:val="clear" w:pos="1428"/>
        </w:tabs>
        <w:spacing w:after="0" w:line="240" w:lineRule="auto"/>
        <w:ind w:left="630" w:hanging="270"/>
        <w:jc w:val="both"/>
        <w:rPr>
          <w:spacing w:val="-6"/>
          <w:sz w:val="24"/>
          <w:szCs w:val="24"/>
        </w:rPr>
      </w:pPr>
      <w:r w:rsidRPr="009951C8">
        <w:rPr>
          <w:spacing w:val="-6"/>
          <w:sz w:val="24"/>
          <w:szCs w:val="24"/>
        </w:rPr>
        <w:t>presa atto conclusione del percorso di definizione del budget 2013</w:t>
      </w:r>
      <w:r w:rsidR="00D646CB">
        <w:rPr>
          <w:spacing w:val="-6"/>
          <w:sz w:val="24"/>
          <w:szCs w:val="24"/>
        </w:rPr>
        <w:t xml:space="preserve"> </w:t>
      </w:r>
      <w:r w:rsidRPr="009951C8">
        <w:rPr>
          <w:spacing w:val="-6"/>
          <w:sz w:val="24"/>
          <w:szCs w:val="24"/>
        </w:rPr>
        <w:t>(delibera del direttore generale n. 77 del 30.04.2013)</w:t>
      </w:r>
      <w:r w:rsidR="00D646CB">
        <w:rPr>
          <w:spacing w:val="-6"/>
          <w:sz w:val="24"/>
          <w:szCs w:val="24"/>
        </w:rPr>
        <w:t>.</w:t>
      </w:r>
    </w:p>
    <w:p w:rsidR="008C6F0B" w:rsidRDefault="008C6F0B" w:rsidP="009951C8">
      <w:pPr>
        <w:pStyle w:val="Default"/>
        <w:jc w:val="both"/>
        <w:rPr>
          <w:rFonts w:asciiTheme="minorHAnsi" w:hAnsiTheme="minorHAnsi"/>
        </w:rPr>
      </w:pPr>
    </w:p>
    <w:p w:rsidR="008C6F0B" w:rsidRDefault="008C6F0B" w:rsidP="009951C8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Nelle diverse schede di budget gli </w:t>
      </w:r>
      <w:r w:rsidRPr="009951C8">
        <w:rPr>
          <w:rFonts w:asciiTheme="minorHAnsi" w:hAnsiTheme="minorHAnsi"/>
        </w:rPr>
        <w:t xml:space="preserve">obiettivi strategici aziendali sono stati declinati in obiettivi operativi distinti in obiettivi incentivati (il raggiungimento influisce sulla valutazione individuale </w:t>
      </w:r>
      <w:r>
        <w:rPr>
          <w:rFonts w:asciiTheme="minorHAnsi" w:hAnsiTheme="minorHAnsi"/>
        </w:rPr>
        <w:t xml:space="preserve">e </w:t>
      </w:r>
      <w:r w:rsidRPr="009951C8">
        <w:rPr>
          <w:rFonts w:asciiTheme="minorHAnsi" w:hAnsiTheme="minorHAnsi"/>
        </w:rPr>
        <w:t xml:space="preserve">sulla retribuzione di risultato </w:t>
      </w:r>
      <w:r>
        <w:rPr>
          <w:rFonts w:asciiTheme="minorHAnsi" w:hAnsiTheme="minorHAnsi"/>
        </w:rPr>
        <w:t>in base ai pesi assegnati</w:t>
      </w:r>
      <w:r w:rsidRPr="009951C8">
        <w:rPr>
          <w:rFonts w:asciiTheme="minorHAnsi" w:hAnsiTheme="minorHAnsi"/>
        </w:rPr>
        <w:t>) e in obiettivi di mandato (il raggiungimento influisce solo sulla valutazione individuale del personale).</w:t>
      </w:r>
    </w:p>
    <w:p w:rsidR="008C6F0B" w:rsidRDefault="008C6F0B" w:rsidP="008C6F0B">
      <w:pPr>
        <w:spacing w:after="0" w:line="240" w:lineRule="auto"/>
        <w:ind w:left="1428"/>
        <w:rPr>
          <w:color w:val="000000"/>
          <w:sz w:val="24"/>
          <w:szCs w:val="24"/>
        </w:rPr>
      </w:pPr>
    </w:p>
    <w:p w:rsidR="00051DB7" w:rsidRPr="009951C8" w:rsidRDefault="00051DB7" w:rsidP="005C5CCC">
      <w:pPr>
        <w:pStyle w:val="Default"/>
        <w:jc w:val="both"/>
        <w:rPr>
          <w:rFonts w:asciiTheme="minorHAnsi" w:hAnsiTheme="minorHAnsi"/>
          <w:spacing w:val="-6"/>
        </w:rPr>
      </w:pPr>
      <w:r w:rsidRPr="009951C8">
        <w:rPr>
          <w:rFonts w:asciiTheme="minorHAnsi" w:hAnsiTheme="minorHAnsi"/>
          <w:spacing w:val="-6"/>
        </w:rPr>
        <w:t xml:space="preserve">Per i </w:t>
      </w:r>
      <w:r w:rsidRPr="009951C8">
        <w:rPr>
          <w:rFonts w:asciiTheme="minorHAnsi" w:hAnsiTheme="minorHAnsi"/>
        </w:rPr>
        <w:t>direttori</w:t>
      </w:r>
      <w:r w:rsidRPr="009951C8">
        <w:rPr>
          <w:rFonts w:asciiTheme="minorHAnsi" w:hAnsiTheme="minorHAnsi"/>
          <w:spacing w:val="-6"/>
        </w:rPr>
        <w:t xml:space="preserve"> di struttura complessa sono stati</w:t>
      </w:r>
      <w:r w:rsidR="006D3D68">
        <w:rPr>
          <w:rFonts w:asciiTheme="minorHAnsi" w:hAnsiTheme="minorHAnsi"/>
          <w:spacing w:val="-6"/>
        </w:rPr>
        <w:t xml:space="preserve">, inoltre, </w:t>
      </w:r>
      <w:r w:rsidRPr="009951C8">
        <w:rPr>
          <w:rFonts w:asciiTheme="minorHAnsi" w:hAnsiTheme="minorHAnsi"/>
          <w:spacing w:val="-6"/>
        </w:rPr>
        <w:t xml:space="preserve">individuati due obiettivi </w:t>
      </w:r>
      <w:r w:rsidR="006D3D68">
        <w:rPr>
          <w:rFonts w:asciiTheme="minorHAnsi" w:hAnsiTheme="minorHAnsi"/>
          <w:spacing w:val="-6"/>
        </w:rPr>
        <w:t>che rappresentano la p</w:t>
      </w:r>
      <w:r w:rsidRPr="009951C8">
        <w:rPr>
          <w:rFonts w:asciiTheme="minorHAnsi" w:hAnsiTheme="minorHAnsi"/>
          <w:spacing w:val="-6"/>
        </w:rPr>
        <w:t>recondizione per la valutazione positiva di tutti gli altri obiettivi incentivati:</w:t>
      </w:r>
    </w:p>
    <w:p w:rsidR="00051DB7" w:rsidRPr="009951C8" w:rsidRDefault="00051DB7" w:rsidP="006D3D68">
      <w:pPr>
        <w:pStyle w:val="Default"/>
        <w:numPr>
          <w:ilvl w:val="0"/>
          <w:numId w:val="9"/>
        </w:numPr>
        <w:rPr>
          <w:rFonts w:asciiTheme="minorHAnsi" w:hAnsiTheme="minorHAnsi"/>
          <w:spacing w:val="-6"/>
        </w:rPr>
      </w:pPr>
      <w:r w:rsidRPr="009951C8">
        <w:rPr>
          <w:rFonts w:asciiTheme="minorHAnsi" w:hAnsiTheme="minorHAnsi"/>
          <w:spacing w:val="-6"/>
        </w:rPr>
        <w:t>contenimento dei consumi di prodotti farmaceutici per i direttori delle s</w:t>
      </w:r>
      <w:r w:rsidR="00D646CB">
        <w:rPr>
          <w:rFonts w:asciiTheme="minorHAnsi" w:hAnsiTheme="minorHAnsi"/>
          <w:spacing w:val="-6"/>
        </w:rPr>
        <w:t xml:space="preserve">trutture </w:t>
      </w:r>
      <w:r w:rsidRPr="009951C8">
        <w:rPr>
          <w:rFonts w:asciiTheme="minorHAnsi" w:hAnsiTheme="minorHAnsi"/>
          <w:spacing w:val="-6"/>
        </w:rPr>
        <w:t>di oncologia</w:t>
      </w:r>
      <w:r w:rsidR="00D646CB">
        <w:rPr>
          <w:rFonts w:asciiTheme="minorHAnsi" w:hAnsiTheme="minorHAnsi"/>
          <w:spacing w:val="-6"/>
        </w:rPr>
        <w:t>;</w:t>
      </w:r>
      <w:r w:rsidRPr="009951C8">
        <w:rPr>
          <w:rFonts w:asciiTheme="minorHAnsi" w:hAnsiTheme="minorHAnsi"/>
          <w:spacing w:val="-6"/>
        </w:rPr>
        <w:t xml:space="preserve"> </w:t>
      </w:r>
    </w:p>
    <w:p w:rsidR="00051DB7" w:rsidRDefault="00051DB7" w:rsidP="006D3D68">
      <w:pPr>
        <w:pStyle w:val="Default"/>
        <w:numPr>
          <w:ilvl w:val="0"/>
          <w:numId w:val="9"/>
        </w:numPr>
        <w:rPr>
          <w:rFonts w:asciiTheme="minorHAnsi" w:hAnsiTheme="minorHAnsi"/>
          <w:spacing w:val="-6"/>
        </w:rPr>
      </w:pPr>
      <w:r w:rsidRPr="009951C8">
        <w:rPr>
          <w:rFonts w:asciiTheme="minorHAnsi" w:hAnsiTheme="minorHAnsi"/>
          <w:spacing w:val="-6"/>
        </w:rPr>
        <w:t>rispetto dell’equilibrio di bilancio per gli altri direttori</w:t>
      </w:r>
      <w:r w:rsidR="00D646CB">
        <w:rPr>
          <w:rFonts w:asciiTheme="minorHAnsi" w:hAnsiTheme="minorHAnsi"/>
          <w:spacing w:val="-6"/>
        </w:rPr>
        <w:t>.</w:t>
      </w:r>
    </w:p>
    <w:p w:rsidR="00066759" w:rsidRDefault="00066759" w:rsidP="00066759">
      <w:pPr>
        <w:pStyle w:val="Default"/>
        <w:ind w:left="1000"/>
        <w:rPr>
          <w:rFonts w:asciiTheme="minorHAnsi" w:hAnsiTheme="minorHAnsi"/>
          <w:spacing w:val="-6"/>
        </w:rPr>
      </w:pPr>
    </w:p>
    <w:p w:rsidR="00BD464A" w:rsidRDefault="00066759" w:rsidP="005C5CC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 deliberazioni del direttore generale n. 91-92-93/2014 sono stati, inoltre, individuati e assegnati alla varie strutture operative/direzioni/dipartimenti gli obiettivi </w:t>
      </w:r>
      <w:r w:rsidR="00BD464A">
        <w:rPr>
          <w:rFonts w:asciiTheme="minorHAnsi" w:hAnsiTheme="minorHAnsi"/>
        </w:rPr>
        <w:t xml:space="preserve">correlati alle risorse aggiuntive regionali </w:t>
      </w:r>
      <w:r>
        <w:rPr>
          <w:rFonts w:asciiTheme="minorHAnsi" w:hAnsiTheme="minorHAnsi"/>
        </w:rPr>
        <w:t xml:space="preserve">per l’anno 2013 nell’ambito delle aree prioritarie individuate dalla Regione con </w:t>
      </w:r>
      <w:r w:rsidR="00BD464A">
        <w:rPr>
          <w:rFonts w:asciiTheme="minorHAnsi" w:hAnsiTheme="minorHAnsi"/>
        </w:rPr>
        <w:t xml:space="preserve">le </w:t>
      </w:r>
      <w:r w:rsidRPr="00EB56EC">
        <w:rPr>
          <w:rFonts w:asciiTheme="minorHAnsi" w:hAnsiTheme="minorHAnsi"/>
        </w:rPr>
        <w:t>DGR 331/2013, 332/2013 e 333/2013.</w:t>
      </w:r>
    </w:p>
    <w:p w:rsidR="00066759" w:rsidRDefault="00BD464A" w:rsidP="005C5CCC">
      <w:pPr>
        <w:pStyle w:val="Default"/>
        <w:jc w:val="both"/>
        <w:rPr>
          <w:rFonts w:asciiTheme="minorHAnsi" w:hAnsiTheme="minorHAnsi"/>
        </w:rPr>
      </w:pPr>
      <w:r w:rsidRPr="00124825">
        <w:rPr>
          <w:rFonts w:asciiTheme="minorHAnsi" w:hAnsiTheme="minorHAnsi"/>
        </w:rPr>
        <w:t>Con le stesse deliberazioni sono stati definitivi dei progetti individuali in riferimento allo svolgimento di attività ritenute di particolare rilievo aziendale.</w:t>
      </w:r>
    </w:p>
    <w:p w:rsidR="00A300ED" w:rsidRDefault="00A300ED" w:rsidP="00A300ED">
      <w:pPr>
        <w:pStyle w:val="Default"/>
        <w:ind w:left="1000"/>
        <w:rPr>
          <w:rFonts w:asciiTheme="minorHAnsi" w:hAnsiTheme="minorHAnsi"/>
          <w:spacing w:val="-6"/>
        </w:rPr>
      </w:pPr>
    </w:p>
    <w:p w:rsidR="00D218CE" w:rsidRDefault="00D218CE" w:rsidP="0092789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</w:p>
    <w:p w:rsidR="007670F0" w:rsidRPr="004F1414" w:rsidRDefault="00927899" w:rsidP="0092789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sz w:val="2"/>
          <w:szCs w:val="2"/>
        </w:rPr>
      </w:pPr>
      <w:r>
        <w:rPr>
          <w:b/>
          <w:sz w:val="26"/>
          <w:szCs w:val="26"/>
        </w:rPr>
        <w:lastRenderedPageBreak/>
        <w:t xml:space="preserve">4.2 </w:t>
      </w:r>
      <w:r w:rsidR="004F1414">
        <w:rPr>
          <w:b/>
          <w:sz w:val="26"/>
          <w:szCs w:val="26"/>
        </w:rPr>
        <w:t>P</w:t>
      </w:r>
      <w:r w:rsidR="001D4793" w:rsidRPr="00927899">
        <w:rPr>
          <w:b/>
          <w:sz w:val="26"/>
          <w:szCs w:val="26"/>
        </w:rPr>
        <w:t>ercorso di m</w:t>
      </w:r>
      <w:r w:rsidR="007670F0" w:rsidRPr="00927899">
        <w:rPr>
          <w:b/>
          <w:sz w:val="26"/>
          <w:szCs w:val="26"/>
        </w:rPr>
        <w:t>onitoraggio degli obiettivi</w:t>
      </w:r>
      <w:r w:rsidR="00BD464A" w:rsidRPr="00927899">
        <w:rPr>
          <w:b/>
          <w:sz w:val="26"/>
          <w:szCs w:val="26"/>
        </w:rPr>
        <w:t>/progetti</w:t>
      </w:r>
      <w:r w:rsidR="004A63EC" w:rsidRPr="004F1414">
        <w:rPr>
          <w:b/>
          <w:sz w:val="2"/>
          <w:szCs w:val="2"/>
        </w:rPr>
        <w:fldChar w:fldCharType="begin"/>
      </w:r>
      <w:r w:rsidR="00F47B33" w:rsidRPr="004F1414">
        <w:rPr>
          <w:sz w:val="2"/>
          <w:szCs w:val="2"/>
        </w:rPr>
        <w:instrText xml:space="preserve"> XE "</w:instrText>
      </w:r>
      <w:r w:rsidR="00F47B33" w:rsidRPr="004F1414">
        <w:rPr>
          <w:b/>
          <w:sz w:val="2"/>
          <w:szCs w:val="2"/>
        </w:rPr>
        <w:instrText xml:space="preserve">4.2 </w:instrText>
      </w:r>
      <w:r w:rsidR="004F1414" w:rsidRPr="004F1414">
        <w:rPr>
          <w:b/>
          <w:sz w:val="2"/>
          <w:szCs w:val="2"/>
        </w:rPr>
        <w:instrText>P</w:instrText>
      </w:r>
      <w:r w:rsidR="00F47B33" w:rsidRPr="004F1414">
        <w:rPr>
          <w:b/>
          <w:sz w:val="2"/>
          <w:szCs w:val="2"/>
        </w:rPr>
        <w:instrText>ercorso di monitoraggio degli obiettivi/progetti</w:instrText>
      </w:r>
      <w:r w:rsidR="00F47B33" w:rsidRPr="004F1414">
        <w:rPr>
          <w:sz w:val="2"/>
          <w:szCs w:val="2"/>
        </w:rPr>
        <w:instrText xml:space="preserve">" </w:instrText>
      </w:r>
      <w:r w:rsidR="004A63EC" w:rsidRPr="004F1414">
        <w:rPr>
          <w:b/>
          <w:sz w:val="2"/>
          <w:szCs w:val="2"/>
        </w:rPr>
        <w:fldChar w:fldCharType="end"/>
      </w:r>
    </w:p>
    <w:p w:rsidR="007670F0" w:rsidRPr="009951C8" w:rsidRDefault="007670F0" w:rsidP="005C5CCC">
      <w:pPr>
        <w:pStyle w:val="Default"/>
        <w:jc w:val="both"/>
        <w:rPr>
          <w:rFonts w:asciiTheme="minorHAnsi" w:hAnsiTheme="minorHAnsi"/>
        </w:rPr>
      </w:pPr>
    </w:p>
    <w:p w:rsidR="00850509" w:rsidRPr="00927899" w:rsidRDefault="00850509" w:rsidP="005C5CCC">
      <w:pPr>
        <w:pStyle w:val="Default"/>
        <w:jc w:val="both"/>
        <w:rPr>
          <w:rFonts w:asciiTheme="minorHAnsi" w:hAnsiTheme="minorHAnsi"/>
          <w:b/>
          <w:u w:val="single"/>
        </w:rPr>
      </w:pPr>
      <w:r w:rsidRPr="00927899">
        <w:rPr>
          <w:rFonts w:asciiTheme="minorHAnsi" w:hAnsiTheme="minorHAnsi"/>
          <w:b/>
          <w:u w:val="single"/>
        </w:rPr>
        <w:t>Verifiche intermedie</w:t>
      </w:r>
      <w:r w:rsidR="00752108" w:rsidRPr="00927899">
        <w:rPr>
          <w:rFonts w:asciiTheme="minorHAnsi" w:hAnsiTheme="minorHAnsi"/>
          <w:b/>
          <w:u w:val="single"/>
        </w:rPr>
        <w:t xml:space="preserve"> schede di budget</w:t>
      </w:r>
    </w:p>
    <w:p w:rsidR="00937659" w:rsidRPr="009951C8" w:rsidRDefault="00850509" w:rsidP="005C5CCC">
      <w:pPr>
        <w:pStyle w:val="Default"/>
        <w:jc w:val="both"/>
        <w:rPr>
          <w:rFonts w:asciiTheme="minorHAnsi" w:hAnsiTheme="minorHAnsi"/>
        </w:rPr>
      </w:pPr>
      <w:r w:rsidRPr="009951C8">
        <w:rPr>
          <w:rFonts w:asciiTheme="minorHAnsi" w:hAnsiTheme="minorHAnsi"/>
        </w:rPr>
        <w:t>Nel corso del 2013 sono stat</w:t>
      </w:r>
      <w:r w:rsidR="006D3D68">
        <w:rPr>
          <w:rFonts w:asciiTheme="minorHAnsi" w:hAnsiTheme="minorHAnsi"/>
        </w:rPr>
        <w:t>e</w:t>
      </w:r>
      <w:r w:rsidRPr="009951C8">
        <w:rPr>
          <w:rFonts w:asciiTheme="minorHAnsi" w:hAnsiTheme="minorHAnsi"/>
        </w:rPr>
        <w:t xml:space="preserve"> realizzat</w:t>
      </w:r>
      <w:r w:rsidR="006D3D68">
        <w:rPr>
          <w:rFonts w:asciiTheme="minorHAnsi" w:hAnsiTheme="minorHAnsi"/>
        </w:rPr>
        <w:t>e</w:t>
      </w:r>
      <w:r w:rsidRPr="009951C8">
        <w:rPr>
          <w:rFonts w:asciiTheme="minorHAnsi" w:hAnsiTheme="minorHAnsi"/>
        </w:rPr>
        <w:t xml:space="preserve"> due serie di incontri (maggio e ottobre) tra le direzioni e i responsabili di budget finalizzati a</w:t>
      </w:r>
      <w:r w:rsidR="0082088A" w:rsidRPr="009951C8">
        <w:rPr>
          <w:rFonts w:asciiTheme="minorHAnsi" w:hAnsiTheme="minorHAnsi"/>
        </w:rPr>
        <w:t xml:space="preserve">l monitoraggio della performance per l’area del comparto e della dirigenza. Durante queste riunioni sono stati </w:t>
      </w:r>
      <w:r w:rsidR="004D667E" w:rsidRPr="009951C8">
        <w:rPr>
          <w:rFonts w:asciiTheme="minorHAnsi" w:hAnsiTheme="minorHAnsi"/>
        </w:rPr>
        <w:t>proposti nuovi obiettivi e modifiche motivate ad obiettivi/indicatori/risultati</w:t>
      </w:r>
      <w:r w:rsidR="001D4793" w:rsidRPr="009951C8">
        <w:rPr>
          <w:rFonts w:asciiTheme="minorHAnsi" w:hAnsiTheme="minorHAnsi"/>
        </w:rPr>
        <w:t xml:space="preserve">. Le modifiche sono state valutate </w:t>
      </w:r>
      <w:r w:rsidRPr="009951C8">
        <w:rPr>
          <w:rFonts w:asciiTheme="minorHAnsi" w:hAnsiTheme="minorHAnsi"/>
        </w:rPr>
        <w:t>e</w:t>
      </w:r>
      <w:r w:rsidR="001D4793" w:rsidRPr="009951C8">
        <w:rPr>
          <w:rFonts w:asciiTheme="minorHAnsi" w:hAnsiTheme="minorHAnsi"/>
        </w:rPr>
        <w:t xml:space="preserve"> approvate dall</w:t>
      </w:r>
      <w:r w:rsidR="004D667E" w:rsidRPr="009951C8">
        <w:rPr>
          <w:rFonts w:asciiTheme="minorHAnsi" w:hAnsiTheme="minorHAnsi"/>
        </w:rPr>
        <w:t>’OIVP</w:t>
      </w:r>
      <w:r w:rsidR="006D3D68">
        <w:rPr>
          <w:rFonts w:asciiTheme="minorHAnsi" w:hAnsiTheme="minorHAnsi"/>
        </w:rPr>
        <w:t xml:space="preserve"> nelle sedute del 18.06, 17.07, 16.09 e 22.10</w:t>
      </w:r>
      <w:r w:rsidR="0082088A" w:rsidRPr="009951C8">
        <w:rPr>
          <w:rFonts w:asciiTheme="minorHAnsi" w:hAnsiTheme="minorHAnsi"/>
        </w:rPr>
        <w:t xml:space="preserve">. </w:t>
      </w:r>
      <w:r w:rsidRPr="009951C8">
        <w:rPr>
          <w:rFonts w:asciiTheme="minorHAnsi" w:hAnsiTheme="minorHAnsi"/>
        </w:rPr>
        <w:t xml:space="preserve">Le </w:t>
      </w:r>
      <w:r w:rsidR="0082088A" w:rsidRPr="009951C8">
        <w:rPr>
          <w:rFonts w:asciiTheme="minorHAnsi" w:hAnsiTheme="minorHAnsi"/>
        </w:rPr>
        <w:t xml:space="preserve">schede di budget delle direzioni sono state inoltre </w:t>
      </w:r>
      <w:r w:rsidR="001D4793" w:rsidRPr="009951C8">
        <w:rPr>
          <w:rFonts w:asciiTheme="minorHAnsi" w:hAnsiTheme="minorHAnsi"/>
        </w:rPr>
        <w:t>a</w:t>
      </w:r>
      <w:r w:rsidR="004D667E" w:rsidRPr="009951C8">
        <w:rPr>
          <w:rFonts w:asciiTheme="minorHAnsi" w:hAnsiTheme="minorHAnsi"/>
        </w:rPr>
        <w:t>degua</w:t>
      </w:r>
      <w:r w:rsidR="0082088A" w:rsidRPr="009951C8">
        <w:rPr>
          <w:rFonts w:asciiTheme="minorHAnsi" w:hAnsiTheme="minorHAnsi"/>
        </w:rPr>
        <w:t>te</w:t>
      </w:r>
      <w:r w:rsidR="004D667E" w:rsidRPr="009951C8">
        <w:rPr>
          <w:rFonts w:asciiTheme="minorHAnsi" w:hAnsiTheme="minorHAnsi"/>
        </w:rPr>
        <w:t xml:space="preserve"> agli obiettivi di trasparenza individuati nella bozza del programma triennale per la trasparenza e l’</w:t>
      </w:r>
      <w:r w:rsidR="001D4793" w:rsidRPr="009951C8">
        <w:rPr>
          <w:rFonts w:asciiTheme="minorHAnsi" w:hAnsiTheme="minorHAnsi"/>
        </w:rPr>
        <w:t>integrità 2013-2015 (delib</w:t>
      </w:r>
      <w:r w:rsidR="004D667E" w:rsidRPr="009951C8">
        <w:rPr>
          <w:rFonts w:asciiTheme="minorHAnsi" w:hAnsiTheme="minorHAnsi"/>
        </w:rPr>
        <w:t>era n. 147 del 16.08.2013)</w:t>
      </w:r>
      <w:r w:rsidR="001D4793" w:rsidRPr="009951C8">
        <w:rPr>
          <w:rFonts w:asciiTheme="minorHAnsi" w:hAnsiTheme="minorHAnsi"/>
        </w:rPr>
        <w:t xml:space="preserve">. </w:t>
      </w:r>
      <w:r w:rsidR="006D3D68">
        <w:rPr>
          <w:rFonts w:asciiTheme="minorHAnsi" w:hAnsiTheme="minorHAnsi"/>
        </w:rPr>
        <w:t>Tutte</w:t>
      </w:r>
      <w:r w:rsidRPr="009951C8">
        <w:rPr>
          <w:rFonts w:asciiTheme="minorHAnsi" w:hAnsiTheme="minorHAnsi"/>
        </w:rPr>
        <w:t xml:space="preserve"> </w:t>
      </w:r>
      <w:r w:rsidR="00D646CB">
        <w:rPr>
          <w:rFonts w:asciiTheme="minorHAnsi" w:hAnsiTheme="minorHAnsi"/>
        </w:rPr>
        <w:t xml:space="preserve">le </w:t>
      </w:r>
      <w:r w:rsidRPr="009951C8">
        <w:rPr>
          <w:rFonts w:asciiTheme="minorHAnsi" w:hAnsiTheme="minorHAnsi"/>
        </w:rPr>
        <w:t xml:space="preserve">modifiche negoziate sono state approvate con delibera </w:t>
      </w:r>
      <w:r w:rsidR="00C46C96">
        <w:rPr>
          <w:rFonts w:asciiTheme="minorHAnsi" w:hAnsiTheme="minorHAnsi"/>
        </w:rPr>
        <w:t xml:space="preserve">del direttore generale </w:t>
      </w:r>
      <w:r w:rsidRPr="009951C8">
        <w:rPr>
          <w:rFonts w:asciiTheme="minorHAnsi" w:hAnsiTheme="minorHAnsi"/>
        </w:rPr>
        <w:t>n. 196 del 06.11.2013.</w:t>
      </w:r>
    </w:p>
    <w:p w:rsidR="009951C8" w:rsidRDefault="009951C8" w:rsidP="005C5CCC">
      <w:pPr>
        <w:pStyle w:val="Default"/>
        <w:jc w:val="both"/>
        <w:rPr>
          <w:rFonts w:asciiTheme="minorHAnsi" w:hAnsiTheme="minorHAnsi"/>
          <w:b/>
        </w:rPr>
      </w:pPr>
    </w:p>
    <w:p w:rsidR="00850509" w:rsidRPr="00927899" w:rsidRDefault="00850509" w:rsidP="005C5CCC">
      <w:pPr>
        <w:pStyle w:val="Default"/>
        <w:jc w:val="both"/>
        <w:rPr>
          <w:rFonts w:asciiTheme="minorHAnsi" w:hAnsiTheme="minorHAnsi"/>
          <w:b/>
          <w:u w:val="single"/>
        </w:rPr>
      </w:pPr>
      <w:r w:rsidRPr="00927899">
        <w:rPr>
          <w:rFonts w:asciiTheme="minorHAnsi" w:hAnsiTheme="minorHAnsi"/>
          <w:b/>
          <w:u w:val="single"/>
        </w:rPr>
        <w:t>Valutazione annuale</w:t>
      </w:r>
      <w:r w:rsidR="00752108" w:rsidRPr="00927899">
        <w:rPr>
          <w:rFonts w:asciiTheme="minorHAnsi" w:hAnsiTheme="minorHAnsi"/>
          <w:b/>
          <w:u w:val="single"/>
        </w:rPr>
        <w:t xml:space="preserve"> schede di budget</w:t>
      </w:r>
    </w:p>
    <w:p w:rsidR="006D3D68" w:rsidRDefault="006D3D68" w:rsidP="005C5CC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Alla chiusura dell’esercizio di budget si è proceduto alla verifica dei risultati raggiunti rispetto agli obiettivi assegnati nelle diverse schede di budget.</w:t>
      </w:r>
    </w:p>
    <w:p w:rsidR="0082088A" w:rsidRDefault="00C83251" w:rsidP="005C5CCC">
      <w:pPr>
        <w:pStyle w:val="Default"/>
        <w:jc w:val="both"/>
        <w:rPr>
          <w:rFonts w:asciiTheme="minorHAnsi" w:hAnsiTheme="minorHAnsi"/>
        </w:rPr>
      </w:pPr>
      <w:r w:rsidRPr="009951C8">
        <w:rPr>
          <w:rFonts w:asciiTheme="minorHAnsi" w:hAnsiTheme="minorHAnsi"/>
        </w:rPr>
        <w:t xml:space="preserve">il raggiungimento degli obiettivi è </w:t>
      </w:r>
      <w:r w:rsidR="00752108" w:rsidRPr="009951C8">
        <w:rPr>
          <w:rFonts w:asciiTheme="minorHAnsi" w:hAnsiTheme="minorHAnsi"/>
        </w:rPr>
        <w:t xml:space="preserve">stato </w:t>
      </w:r>
      <w:r w:rsidRPr="009951C8">
        <w:rPr>
          <w:rFonts w:asciiTheme="minorHAnsi" w:hAnsiTheme="minorHAnsi"/>
        </w:rPr>
        <w:t>attestato dalla direzione strategica di competenza sulla base di propri strumenti di monitoraggio o avvalendosi della documentazione prodotta dai responsabili che hanno partecipato al percorso di budget 2013.</w:t>
      </w:r>
      <w:r w:rsidR="00752108" w:rsidRPr="009951C8">
        <w:rPr>
          <w:rFonts w:asciiTheme="minorHAnsi" w:hAnsiTheme="minorHAnsi"/>
        </w:rPr>
        <w:t xml:space="preserve"> </w:t>
      </w:r>
      <w:r w:rsidR="009265D9">
        <w:rPr>
          <w:rFonts w:asciiTheme="minorHAnsi" w:hAnsiTheme="minorHAnsi"/>
        </w:rPr>
        <w:t>Si precisa che nel mese di gennaio 2014 è scaduto l’OIVP e solo nel mese di agosto si è potuto procedere alla nomina del nuovo organismo</w:t>
      </w:r>
      <w:r w:rsidR="00D646CB">
        <w:rPr>
          <w:rFonts w:asciiTheme="minorHAnsi" w:hAnsiTheme="minorHAnsi"/>
        </w:rPr>
        <w:t>,</w:t>
      </w:r>
      <w:r w:rsidR="009265D9">
        <w:rPr>
          <w:rFonts w:asciiTheme="minorHAnsi" w:hAnsiTheme="minorHAnsi"/>
        </w:rPr>
        <w:t xml:space="preserve"> dopo il parere favorevole dell’A.NA.C datato 07.08.2014. Questo ha determinato dei ritardi nel processo di </w:t>
      </w:r>
      <w:r w:rsidR="00752108" w:rsidRPr="009951C8">
        <w:rPr>
          <w:rFonts w:asciiTheme="minorHAnsi" w:hAnsiTheme="minorHAnsi"/>
        </w:rPr>
        <w:t xml:space="preserve">validazione </w:t>
      </w:r>
      <w:r w:rsidR="0082088A" w:rsidRPr="009951C8">
        <w:rPr>
          <w:rFonts w:asciiTheme="minorHAnsi" w:hAnsiTheme="minorHAnsi"/>
        </w:rPr>
        <w:t xml:space="preserve">delle risultanze </w:t>
      </w:r>
      <w:r w:rsidR="009265D9">
        <w:rPr>
          <w:rFonts w:asciiTheme="minorHAnsi" w:hAnsiTheme="minorHAnsi"/>
        </w:rPr>
        <w:t>da parte dell’OIVP</w:t>
      </w:r>
      <w:r w:rsidR="00805CAD">
        <w:rPr>
          <w:rFonts w:asciiTheme="minorHAnsi" w:hAnsiTheme="minorHAnsi"/>
        </w:rPr>
        <w:t xml:space="preserve"> che si è concluso solo in data </w:t>
      </w:r>
      <w:r w:rsidR="00F45015">
        <w:rPr>
          <w:rFonts w:asciiTheme="minorHAnsi" w:hAnsiTheme="minorHAnsi"/>
        </w:rPr>
        <w:t>23</w:t>
      </w:r>
      <w:r w:rsidR="00805CAD">
        <w:rPr>
          <w:rFonts w:asciiTheme="minorHAnsi" w:hAnsiTheme="minorHAnsi"/>
        </w:rPr>
        <w:t xml:space="preserve"> </w:t>
      </w:r>
      <w:r w:rsidR="00F45015">
        <w:rPr>
          <w:rFonts w:asciiTheme="minorHAnsi" w:hAnsiTheme="minorHAnsi"/>
        </w:rPr>
        <w:t>ottobre</w:t>
      </w:r>
      <w:r w:rsidR="009265D9">
        <w:rPr>
          <w:rFonts w:asciiTheme="minorHAnsi" w:hAnsiTheme="minorHAnsi"/>
        </w:rPr>
        <w:t>.</w:t>
      </w:r>
    </w:p>
    <w:p w:rsidR="00805CAD" w:rsidRPr="009951C8" w:rsidRDefault="00805CAD" w:rsidP="005C5CC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Complessivamente tutte le strutture/dipartimenti/direzioni hanno avuto una valutazione superiore al 93%.</w:t>
      </w:r>
    </w:p>
    <w:p w:rsidR="00752108" w:rsidRPr="009951C8" w:rsidRDefault="00F71699" w:rsidP="005C5CCC">
      <w:pPr>
        <w:pStyle w:val="Default"/>
        <w:jc w:val="both"/>
        <w:rPr>
          <w:rFonts w:asciiTheme="minorHAnsi" w:hAnsiTheme="minorHAnsi"/>
        </w:rPr>
      </w:pPr>
      <w:r w:rsidRPr="009951C8">
        <w:rPr>
          <w:rFonts w:asciiTheme="minorHAnsi" w:hAnsiTheme="minorHAnsi"/>
        </w:rPr>
        <w:t>Per quanto riguarda la valutazione finale de</w:t>
      </w:r>
      <w:r w:rsidR="006B0682">
        <w:rPr>
          <w:rFonts w:asciiTheme="minorHAnsi" w:hAnsiTheme="minorHAnsi"/>
        </w:rPr>
        <w:t xml:space="preserve">i singoli </w:t>
      </w:r>
      <w:r w:rsidRPr="009951C8">
        <w:rPr>
          <w:rFonts w:asciiTheme="minorHAnsi" w:hAnsiTheme="minorHAnsi"/>
        </w:rPr>
        <w:t>obiettivi</w:t>
      </w:r>
      <w:r w:rsidR="00F42C09">
        <w:rPr>
          <w:rFonts w:asciiTheme="minorHAnsi" w:hAnsiTheme="minorHAnsi"/>
        </w:rPr>
        <w:t xml:space="preserve"> di budget</w:t>
      </w:r>
      <w:r w:rsidRPr="009951C8">
        <w:rPr>
          <w:rFonts w:asciiTheme="minorHAnsi" w:hAnsiTheme="minorHAnsi"/>
        </w:rPr>
        <w:t>, si rimanda all</w:t>
      </w:r>
      <w:r w:rsidR="00F42C09">
        <w:rPr>
          <w:rFonts w:asciiTheme="minorHAnsi" w:hAnsiTheme="minorHAnsi"/>
        </w:rPr>
        <w:t>e schede allegate alla</w:t>
      </w:r>
      <w:r w:rsidR="006B0682">
        <w:rPr>
          <w:rFonts w:asciiTheme="minorHAnsi" w:hAnsiTheme="minorHAnsi"/>
        </w:rPr>
        <w:t xml:space="preserve"> delibera di </w:t>
      </w:r>
      <w:r w:rsidR="00F42C09">
        <w:rPr>
          <w:rFonts w:asciiTheme="minorHAnsi" w:hAnsiTheme="minorHAnsi"/>
        </w:rPr>
        <w:t>“</w:t>
      </w:r>
      <w:r w:rsidR="006B0682" w:rsidRPr="006B0682">
        <w:rPr>
          <w:rFonts w:asciiTheme="minorHAnsi" w:hAnsiTheme="minorHAnsi"/>
        </w:rPr>
        <w:t>Presa atto raggiungimento obiettivi di budget anno 2013</w:t>
      </w:r>
      <w:r w:rsidR="00F42C09">
        <w:rPr>
          <w:rFonts w:asciiTheme="minorHAnsi" w:hAnsiTheme="minorHAnsi"/>
        </w:rPr>
        <w:t>”</w:t>
      </w:r>
      <w:r w:rsidRPr="009951C8">
        <w:rPr>
          <w:rFonts w:asciiTheme="minorHAnsi" w:hAnsiTheme="minorHAnsi"/>
        </w:rPr>
        <w:t>.</w:t>
      </w:r>
    </w:p>
    <w:p w:rsidR="00D218CE" w:rsidRDefault="00D218CE" w:rsidP="0092789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</w:p>
    <w:p w:rsidR="00D218CE" w:rsidRDefault="00D218CE" w:rsidP="0092789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sz w:val="26"/>
          <w:szCs w:val="26"/>
        </w:rPr>
      </w:pPr>
    </w:p>
    <w:p w:rsidR="00752108" w:rsidRPr="00F47B33" w:rsidRDefault="00927899" w:rsidP="0092789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b/>
          <w:sz w:val="2"/>
          <w:szCs w:val="2"/>
        </w:rPr>
      </w:pPr>
      <w:r>
        <w:rPr>
          <w:b/>
          <w:sz w:val="26"/>
          <w:szCs w:val="26"/>
        </w:rPr>
        <w:t xml:space="preserve">4.3 </w:t>
      </w:r>
      <w:r w:rsidR="00752108" w:rsidRPr="00927899">
        <w:rPr>
          <w:b/>
          <w:sz w:val="26"/>
          <w:szCs w:val="26"/>
        </w:rPr>
        <w:t xml:space="preserve">Valutazione </w:t>
      </w:r>
      <w:r w:rsidR="0036369C" w:rsidRPr="00927899">
        <w:rPr>
          <w:b/>
          <w:sz w:val="26"/>
          <w:szCs w:val="26"/>
        </w:rPr>
        <w:t>della performance individuale</w:t>
      </w:r>
      <w:r w:rsidR="004A63EC" w:rsidRPr="00F47B33">
        <w:rPr>
          <w:b/>
          <w:sz w:val="2"/>
          <w:szCs w:val="2"/>
        </w:rPr>
        <w:fldChar w:fldCharType="begin"/>
      </w:r>
      <w:r w:rsidR="00F47B33" w:rsidRPr="00F47B33">
        <w:rPr>
          <w:sz w:val="2"/>
          <w:szCs w:val="2"/>
        </w:rPr>
        <w:instrText xml:space="preserve"> XE "</w:instrText>
      </w:r>
      <w:r w:rsidR="00F47B33" w:rsidRPr="00F47B33">
        <w:rPr>
          <w:b/>
          <w:sz w:val="2"/>
          <w:szCs w:val="2"/>
        </w:rPr>
        <w:instrText>4.3 Valutazione della performance individuale</w:instrText>
      </w:r>
      <w:r w:rsidR="00F47B33" w:rsidRPr="00F47B33">
        <w:rPr>
          <w:sz w:val="2"/>
          <w:szCs w:val="2"/>
        </w:rPr>
        <w:instrText xml:space="preserve">" </w:instrText>
      </w:r>
      <w:r w:rsidR="004A63EC" w:rsidRPr="00F47B33">
        <w:rPr>
          <w:b/>
          <w:sz w:val="2"/>
          <w:szCs w:val="2"/>
        </w:rPr>
        <w:fldChar w:fldCharType="end"/>
      </w:r>
    </w:p>
    <w:p w:rsidR="0036369C" w:rsidRPr="009951C8" w:rsidRDefault="0036369C" w:rsidP="005C5CCC">
      <w:pPr>
        <w:pStyle w:val="Default"/>
        <w:jc w:val="both"/>
        <w:rPr>
          <w:rFonts w:asciiTheme="minorHAnsi" w:hAnsiTheme="minorHAnsi"/>
          <w:b/>
        </w:rPr>
      </w:pPr>
    </w:p>
    <w:p w:rsidR="00805CAD" w:rsidRDefault="00805CAD" w:rsidP="005C5CC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 ciclo della performance si chiude con la valutazione individuale del personale dipendente.</w:t>
      </w:r>
    </w:p>
    <w:p w:rsidR="00805CAD" w:rsidRDefault="00805CAD" w:rsidP="005C5CCC">
      <w:pPr>
        <w:pStyle w:val="Default"/>
        <w:jc w:val="both"/>
        <w:rPr>
          <w:rFonts w:asciiTheme="minorHAnsi" w:hAnsiTheme="minorHAnsi"/>
        </w:rPr>
      </w:pPr>
      <w:r w:rsidRPr="009951C8">
        <w:rPr>
          <w:rFonts w:asciiTheme="minorHAnsi" w:hAnsiTheme="minorHAnsi"/>
        </w:rPr>
        <w:t>Ne</w:t>
      </w:r>
      <w:r>
        <w:rPr>
          <w:rFonts w:asciiTheme="minorHAnsi" w:hAnsiTheme="minorHAnsi"/>
        </w:rPr>
        <w:t>gli</w:t>
      </w:r>
      <w:r w:rsidRPr="009951C8">
        <w:rPr>
          <w:rFonts w:asciiTheme="minorHAnsi" w:hAnsiTheme="minorHAnsi"/>
        </w:rPr>
        <w:t xml:space="preserve"> ultimi anni l’Istituto ha avviato un processo di valutazione </w:t>
      </w:r>
      <w:r>
        <w:rPr>
          <w:rFonts w:asciiTheme="minorHAnsi" w:hAnsiTheme="minorHAnsi"/>
        </w:rPr>
        <w:t>della performance individuale differenziato a seconda che si tratti di personale dirigente o non dirigente.</w:t>
      </w:r>
    </w:p>
    <w:p w:rsidR="00752108" w:rsidRPr="009951C8" w:rsidRDefault="00752108" w:rsidP="005C5CCC">
      <w:pPr>
        <w:pStyle w:val="Default"/>
        <w:jc w:val="both"/>
        <w:rPr>
          <w:rFonts w:asciiTheme="minorHAnsi" w:hAnsiTheme="minorHAnsi"/>
        </w:rPr>
      </w:pPr>
    </w:p>
    <w:p w:rsidR="004D667E" w:rsidRPr="009951C8" w:rsidRDefault="00805CAD" w:rsidP="005C5CC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</w:t>
      </w:r>
      <w:r w:rsidR="00834B71" w:rsidRPr="009A4D6F">
        <w:rPr>
          <w:rFonts w:asciiTheme="minorHAnsi" w:hAnsiTheme="minorHAnsi"/>
          <w:u w:val="single"/>
        </w:rPr>
        <w:t xml:space="preserve">valutazione individuale </w:t>
      </w:r>
      <w:r w:rsidRPr="009A4D6F">
        <w:rPr>
          <w:rFonts w:asciiTheme="minorHAnsi" w:hAnsiTheme="minorHAnsi"/>
          <w:u w:val="single"/>
        </w:rPr>
        <w:t>della dirigenza</w:t>
      </w:r>
      <w:r>
        <w:rPr>
          <w:rFonts w:asciiTheme="minorHAnsi" w:hAnsiTheme="minorHAnsi"/>
        </w:rPr>
        <w:t xml:space="preserve"> </w:t>
      </w:r>
      <w:r w:rsidR="00834B71" w:rsidRPr="009951C8">
        <w:rPr>
          <w:rFonts w:asciiTheme="minorHAnsi" w:hAnsiTheme="minorHAnsi"/>
        </w:rPr>
        <w:t>analizza e misura in modo trasparente la performance dei dipendenti e valoriz</w:t>
      </w:r>
      <w:r w:rsidR="00B97AAF" w:rsidRPr="009951C8">
        <w:rPr>
          <w:rFonts w:asciiTheme="minorHAnsi" w:hAnsiTheme="minorHAnsi"/>
        </w:rPr>
        <w:t>za il loro impegno e i loro ris</w:t>
      </w:r>
      <w:r w:rsidR="00834B71" w:rsidRPr="009951C8">
        <w:rPr>
          <w:rFonts w:asciiTheme="minorHAnsi" w:hAnsiTheme="minorHAnsi"/>
        </w:rPr>
        <w:t>u</w:t>
      </w:r>
      <w:r w:rsidR="00B97AAF" w:rsidRPr="009951C8">
        <w:rPr>
          <w:rFonts w:asciiTheme="minorHAnsi" w:hAnsiTheme="minorHAnsi"/>
        </w:rPr>
        <w:t>l</w:t>
      </w:r>
      <w:r w:rsidR="00834B71" w:rsidRPr="009951C8">
        <w:rPr>
          <w:rFonts w:asciiTheme="minorHAnsi" w:hAnsiTheme="minorHAnsi"/>
        </w:rPr>
        <w:t xml:space="preserve">tati. </w:t>
      </w:r>
    </w:p>
    <w:p w:rsidR="00B97AAF" w:rsidRPr="009951C8" w:rsidRDefault="006C1942" w:rsidP="005C5CC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Lo strumento utilizzato è rappresentato da una</w:t>
      </w:r>
      <w:r w:rsidR="00834B71" w:rsidRPr="009951C8">
        <w:rPr>
          <w:rFonts w:asciiTheme="minorHAnsi" w:hAnsiTheme="minorHAnsi"/>
        </w:rPr>
        <w:t xml:space="preserve"> scheda di valutazione </w:t>
      </w:r>
      <w:r>
        <w:rPr>
          <w:rFonts w:asciiTheme="minorHAnsi" w:hAnsiTheme="minorHAnsi"/>
        </w:rPr>
        <w:t xml:space="preserve">in formato excel ed </w:t>
      </w:r>
      <w:r w:rsidR="00834B71" w:rsidRPr="009951C8">
        <w:rPr>
          <w:rFonts w:asciiTheme="minorHAnsi" w:hAnsiTheme="minorHAnsi"/>
        </w:rPr>
        <w:t xml:space="preserve">è </w:t>
      </w:r>
      <w:r w:rsidR="00B97AAF" w:rsidRPr="009951C8">
        <w:rPr>
          <w:rFonts w:asciiTheme="minorHAnsi" w:hAnsiTheme="minorHAnsi"/>
        </w:rPr>
        <w:t>articolata in 7 dimensioni:</w:t>
      </w:r>
    </w:p>
    <w:p w:rsidR="00B97AAF" w:rsidRPr="009951C8" w:rsidRDefault="00B97AAF" w:rsidP="005C5CCC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</w:rPr>
      </w:pPr>
      <w:r w:rsidRPr="00AF6B22">
        <w:rPr>
          <w:rFonts w:asciiTheme="minorHAnsi" w:hAnsiTheme="minorHAnsi"/>
        </w:rPr>
        <w:t>caratteristiche comportamentali</w:t>
      </w:r>
      <w:r w:rsidRPr="009951C8">
        <w:rPr>
          <w:rFonts w:asciiTheme="minorHAnsi" w:hAnsiTheme="minorHAnsi"/>
        </w:rPr>
        <w:t xml:space="preserve">, </w:t>
      </w:r>
    </w:p>
    <w:p w:rsidR="00B97AAF" w:rsidRPr="009951C8" w:rsidRDefault="00B97AAF" w:rsidP="005C5CCC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</w:rPr>
      </w:pPr>
      <w:r w:rsidRPr="00AF6B22">
        <w:rPr>
          <w:rFonts w:asciiTheme="minorHAnsi" w:hAnsiTheme="minorHAnsi"/>
        </w:rPr>
        <w:t>collaborazione e partecipazione multidisciplinare</w:t>
      </w:r>
      <w:r w:rsidRPr="009951C8">
        <w:rPr>
          <w:rFonts w:asciiTheme="minorHAnsi" w:hAnsiTheme="minorHAnsi"/>
        </w:rPr>
        <w:t xml:space="preserve">, </w:t>
      </w:r>
    </w:p>
    <w:p w:rsidR="00B97AAF" w:rsidRPr="009951C8" w:rsidRDefault="00B97AAF" w:rsidP="005C5CCC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</w:rPr>
      </w:pPr>
      <w:r w:rsidRPr="00AF6B22">
        <w:rPr>
          <w:rFonts w:asciiTheme="minorHAnsi" w:hAnsiTheme="minorHAnsi"/>
        </w:rPr>
        <w:t>capacità organizzative</w:t>
      </w:r>
      <w:r w:rsidRPr="009951C8">
        <w:rPr>
          <w:rFonts w:asciiTheme="minorHAnsi" w:hAnsiTheme="minorHAnsi"/>
        </w:rPr>
        <w:t>,</w:t>
      </w:r>
    </w:p>
    <w:p w:rsidR="00B97AAF" w:rsidRPr="009951C8" w:rsidRDefault="00B97AAF" w:rsidP="005C5CCC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</w:rPr>
      </w:pPr>
      <w:r w:rsidRPr="00AF6B22">
        <w:rPr>
          <w:rFonts w:asciiTheme="minorHAnsi" w:hAnsiTheme="minorHAnsi"/>
        </w:rPr>
        <w:t>qualità e formazione professionale</w:t>
      </w:r>
      <w:r w:rsidRPr="009951C8">
        <w:rPr>
          <w:rFonts w:asciiTheme="minorHAnsi" w:hAnsiTheme="minorHAnsi"/>
        </w:rPr>
        <w:t xml:space="preserve">, </w:t>
      </w:r>
    </w:p>
    <w:p w:rsidR="00B97AAF" w:rsidRPr="009951C8" w:rsidRDefault="00B97AAF" w:rsidP="005C5CCC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</w:rPr>
      </w:pPr>
      <w:r w:rsidRPr="00AF6B22">
        <w:rPr>
          <w:rFonts w:asciiTheme="minorHAnsi" w:hAnsiTheme="minorHAnsi"/>
        </w:rPr>
        <w:t>rapporti con i Cittadini</w:t>
      </w:r>
      <w:r w:rsidRPr="009951C8">
        <w:rPr>
          <w:rFonts w:asciiTheme="minorHAnsi" w:hAnsiTheme="minorHAnsi"/>
        </w:rPr>
        <w:t xml:space="preserve">, </w:t>
      </w:r>
    </w:p>
    <w:p w:rsidR="00B97AAF" w:rsidRPr="009951C8" w:rsidRDefault="008C6AF5" w:rsidP="005C5CCC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B97AAF" w:rsidRPr="00AF6B22">
        <w:rPr>
          <w:rFonts w:asciiTheme="minorHAnsi" w:hAnsiTheme="minorHAnsi"/>
        </w:rPr>
        <w:t>ontributo individuale</w:t>
      </w:r>
      <w:r w:rsidR="00B97AAF" w:rsidRPr="009951C8">
        <w:rPr>
          <w:rFonts w:asciiTheme="minorHAnsi" w:hAnsiTheme="minorHAnsi"/>
        </w:rPr>
        <w:t xml:space="preserve"> alle a</w:t>
      </w:r>
      <w:r w:rsidR="00B97AAF" w:rsidRPr="00AF6B22">
        <w:rPr>
          <w:rFonts w:asciiTheme="minorHAnsi" w:hAnsiTheme="minorHAnsi"/>
        </w:rPr>
        <w:t>ttività relativa agli obiettivi di budget dell'anno in corso</w:t>
      </w:r>
      <w:r w:rsidR="00B97AAF" w:rsidRPr="009951C8">
        <w:rPr>
          <w:rFonts w:asciiTheme="minorHAnsi" w:hAnsiTheme="minorHAnsi"/>
        </w:rPr>
        <w:t xml:space="preserve"> </w:t>
      </w:r>
    </w:p>
    <w:p w:rsidR="00B97AAF" w:rsidRDefault="00B97AAF" w:rsidP="005C5CCC">
      <w:pPr>
        <w:pStyle w:val="Default"/>
        <w:numPr>
          <w:ilvl w:val="0"/>
          <w:numId w:val="2"/>
        </w:numPr>
        <w:ind w:left="0" w:firstLine="0"/>
        <w:jc w:val="both"/>
        <w:rPr>
          <w:rFonts w:asciiTheme="minorHAnsi" w:hAnsiTheme="minorHAnsi"/>
        </w:rPr>
      </w:pPr>
      <w:r w:rsidRPr="00AF6B22">
        <w:rPr>
          <w:rFonts w:asciiTheme="minorHAnsi" w:hAnsiTheme="minorHAnsi"/>
        </w:rPr>
        <w:t>attività scientifiche e didattiche</w:t>
      </w:r>
      <w:r w:rsidR="00901685">
        <w:rPr>
          <w:rFonts w:asciiTheme="minorHAnsi" w:hAnsiTheme="minorHAnsi"/>
        </w:rPr>
        <w:t>.</w:t>
      </w:r>
    </w:p>
    <w:p w:rsidR="00901685" w:rsidRPr="00901685" w:rsidRDefault="00901685" w:rsidP="005C5CCC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diverse dimensioni sono “pesate” attraverso </w:t>
      </w:r>
      <w:r w:rsidRPr="00901685">
        <w:rPr>
          <w:rFonts w:asciiTheme="minorHAnsi" w:hAnsiTheme="minorHAnsi"/>
        </w:rPr>
        <w:t xml:space="preserve">coefficienti di correzione variabili che contribuiscono a rendere il punteggio coerente con le responsabilità dirigenziali attribuite. </w:t>
      </w:r>
      <w:r w:rsidRPr="00901685">
        <w:rPr>
          <w:rFonts w:asciiTheme="minorHAnsi" w:hAnsiTheme="minorHAnsi"/>
        </w:rPr>
        <w:lastRenderedPageBreak/>
        <w:t>Ciascuna dimensione è scomposta in più fattori di osservazione, il cui valore medio moltiplicato per il coefficiente fornisce il valore della dimensione</w:t>
      </w:r>
      <w:r w:rsidR="00693488">
        <w:rPr>
          <w:rFonts w:asciiTheme="minorHAnsi" w:hAnsiTheme="minorHAnsi"/>
        </w:rPr>
        <w:t>.</w:t>
      </w:r>
    </w:p>
    <w:p w:rsidR="00E336E8" w:rsidRPr="005C5CCC" w:rsidRDefault="00E336E8" w:rsidP="00E336E8">
      <w:pPr>
        <w:pStyle w:val="Default"/>
        <w:tabs>
          <w:tab w:val="left" w:pos="360"/>
        </w:tabs>
        <w:jc w:val="both"/>
        <w:rPr>
          <w:rFonts w:asciiTheme="minorHAnsi" w:hAnsiTheme="minorHAnsi"/>
        </w:rPr>
      </w:pPr>
      <w:r w:rsidRPr="005C5CCC">
        <w:rPr>
          <w:rFonts w:asciiTheme="minorHAnsi" w:hAnsiTheme="minorHAnsi"/>
        </w:rPr>
        <w:t>Tra i fattori di osservazioni sono ricompresi anche gli obiettivi descritti nella scheda di budget al fine di rendere coerenti i due strumenti di valutazione.</w:t>
      </w:r>
    </w:p>
    <w:p w:rsidR="009A4D6F" w:rsidRDefault="009A4D6F" w:rsidP="00FF3852">
      <w:pPr>
        <w:pStyle w:val="Default"/>
        <w:jc w:val="both"/>
        <w:rPr>
          <w:rFonts w:asciiTheme="minorHAnsi" w:hAnsiTheme="minorHAnsi"/>
        </w:rPr>
      </w:pPr>
    </w:p>
    <w:p w:rsidR="00E336E8" w:rsidRPr="005C5CCC" w:rsidRDefault="00E336E8" w:rsidP="00FF3852">
      <w:pPr>
        <w:pStyle w:val="Default"/>
        <w:jc w:val="both"/>
        <w:rPr>
          <w:rFonts w:asciiTheme="minorHAnsi" w:hAnsiTheme="minorHAnsi"/>
        </w:rPr>
      </w:pPr>
      <w:r w:rsidRPr="005C5CCC">
        <w:rPr>
          <w:rFonts w:asciiTheme="minorHAnsi" w:hAnsiTheme="minorHAnsi"/>
        </w:rPr>
        <w:t xml:space="preserve">La </w:t>
      </w:r>
      <w:r w:rsidRPr="009A4D6F">
        <w:rPr>
          <w:rFonts w:asciiTheme="minorHAnsi" w:hAnsiTheme="minorHAnsi"/>
          <w:u w:val="single"/>
        </w:rPr>
        <w:t>valutazione individuale del comparto</w:t>
      </w:r>
      <w:r w:rsidRPr="005C5CCC">
        <w:rPr>
          <w:rFonts w:asciiTheme="minorHAnsi" w:hAnsiTheme="minorHAnsi"/>
        </w:rPr>
        <w:t xml:space="preserve"> è effettuata tramite una scheda semplificata che considera due dimensioni</w:t>
      </w:r>
      <w:r w:rsidR="00C46C96">
        <w:rPr>
          <w:rFonts w:asciiTheme="minorHAnsi" w:hAnsiTheme="minorHAnsi"/>
        </w:rPr>
        <w:t xml:space="preserve">: </w:t>
      </w:r>
      <w:r w:rsidRPr="005C5CCC">
        <w:rPr>
          <w:rFonts w:asciiTheme="minorHAnsi" w:hAnsiTheme="minorHAnsi"/>
        </w:rPr>
        <w:t>contributo individuale agli obiettivi di budget di gruppo e componenti professionali ed organizzative.</w:t>
      </w:r>
    </w:p>
    <w:p w:rsidR="009A4D6F" w:rsidRDefault="009A4D6F" w:rsidP="00FF3852">
      <w:pPr>
        <w:pStyle w:val="Default"/>
        <w:jc w:val="both"/>
        <w:rPr>
          <w:rFonts w:asciiTheme="minorHAnsi" w:hAnsiTheme="minorHAnsi"/>
        </w:rPr>
      </w:pPr>
    </w:p>
    <w:p w:rsidR="00E46CE6" w:rsidRPr="005C5CCC" w:rsidRDefault="00E46CE6" w:rsidP="00FF3852">
      <w:pPr>
        <w:pStyle w:val="Default"/>
        <w:jc w:val="both"/>
        <w:rPr>
          <w:rFonts w:asciiTheme="minorHAnsi" w:hAnsiTheme="minorHAnsi"/>
        </w:rPr>
      </w:pPr>
      <w:r w:rsidRPr="005C5CCC">
        <w:rPr>
          <w:rFonts w:asciiTheme="minorHAnsi" w:hAnsiTheme="minorHAnsi"/>
        </w:rPr>
        <w:t>La valutazione individuale positiva rappresenta</w:t>
      </w:r>
      <w:r w:rsidR="009A4D6F">
        <w:rPr>
          <w:rFonts w:asciiTheme="minorHAnsi" w:hAnsiTheme="minorHAnsi"/>
        </w:rPr>
        <w:t>,</w:t>
      </w:r>
      <w:r w:rsidRPr="005C5CCC">
        <w:rPr>
          <w:rFonts w:asciiTheme="minorHAnsi" w:hAnsiTheme="minorHAnsi"/>
        </w:rPr>
        <w:t xml:space="preserve"> sia per la dirigenza che per il comparto</w:t>
      </w:r>
      <w:r w:rsidR="009A4D6F">
        <w:rPr>
          <w:rFonts w:asciiTheme="minorHAnsi" w:hAnsiTheme="minorHAnsi"/>
        </w:rPr>
        <w:t>,</w:t>
      </w:r>
      <w:r w:rsidRPr="005C5CCC">
        <w:rPr>
          <w:rFonts w:asciiTheme="minorHAnsi" w:hAnsiTheme="minorHAnsi"/>
        </w:rPr>
        <w:t xml:space="preserve"> la precondizione per accedere ai sistemi di incentivazione. Non vi sono graduazioni ulteriori di valutazione all’intero di un giudizio positivo complessivo.</w:t>
      </w:r>
    </w:p>
    <w:p w:rsidR="00124825" w:rsidRDefault="00545B6D" w:rsidP="005C5CCC">
      <w:pPr>
        <w:pStyle w:val="Default"/>
        <w:jc w:val="both"/>
        <w:rPr>
          <w:rFonts w:asciiTheme="minorHAnsi" w:hAnsiTheme="minorHAnsi"/>
        </w:rPr>
      </w:pPr>
      <w:r w:rsidRPr="00124825">
        <w:rPr>
          <w:rFonts w:asciiTheme="minorHAnsi" w:hAnsiTheme="minorHAnsi"/>
        </w:rPr>
        <w:t xml:space="preserve">Per l’anno 2013 </w:t>
      </w:r>
      <w:r w:rsidR="00B32640" w:rsidRPr="00124825">
        <w:rPr>
          <w:rFonts w:asciiTheme="minorHAnsi" w:hAnsiTheme="minorHAnsi"/>
        </w:rPr>
        <w:t>la valutazione della performance individuale del personale del</w:t>
      </w:r>
      <w:r w:rsidR="008C6AF5">
        <w:rPr>
          <w:rFonts w:asciiTheme="minorHAnsi" w:hAnsiTheme="minorHAnsi"/>
        </w:rPr>
        <w:t xml:space="preserve">la dirigenza e del </w:t>
      </w:r>
      <w:r w:rsidR="00B32640" w:rsidRPr="00124825">
        <w:rPr>
          <w:rFonts w:asciiTheme="minorHAnsi" w:hAnsiTheme="minorHAnsi"/>
        </w:rPr>
        <w:t xml:space="preserve">comparto si è conclusa </w:t>
      </w:r>
      <w:r w:rsidR="009A4D6F">
        <w:rPr>
          <w:rFonts w:asciiTheme="minorHAnsi" w:hAnsiTheme="minorHAnsi"/>
        </w:rPr>
        <w:t xml:space="preserve">in data 21 novembre 2014 </w:t>
      </w:r>
      <w:r w:rsidR="00B32640" w:rsidRPr="00124825">
        <w:rPr>
          <w:rFonts w:asciiTheme="minorHAnsi" w:hAnsiTheme="minorHAnsi"/>
        </w:rPr>
        <w:t xml:space="preserve">e tutte le schede sono positive. </w:t>
      </w:r>
    </w:p>
    <w:p w:rsidR="00124825" w:rsidRPr="005C5CCC" w:rsidRDefault="00124825" w:rsidP="005C5CCC">
      <w:pPr>
        <w:pStyle w:val="Default"/>
        <w:jc w:val="both"/>
        <w:rPr>
          <w:rFonts w:asciiTheme="minorHAnsi" w:hAnsiTheme="minorHAnsi"/>
        </w:rPr>
      </w:pPr>
    </w:p>
    <w:p w:rsidR="0091343C" w:rsidRDefault="0091343C" w:rsidP="005C5CCC">
      <w:pPr>
        <w:ind w:hanging="90"/>
        <w:rPr>
          <w:sz w:val="24"/>
          <w:szCs w:val="24"/>
        </w:rPr>
      </w:pPr>
    </w:p>
    <w:p w:rsidR="001B0622" w:rsidRDefault="009A4D6F" w:rsidP="005C5CCC">
      <w:pPr>
        <w:ind w:hanging="90"/>
        <w:rPr>
          <w:sz w:val="24"/>
          <w:szCs w:val="24"/>
        </w:rPr>
      </w:pPr>
      <w:r>
        <w:rPr>
          <w:sz w:val="24"/>
          <w:szCs w:val="24"/>
        </w:rPr>
        <w:t xml:space="preserve">Aviano, </w:t>
      </w:r>
      <w:r w:rsidR="00D510B5">
        <w:rPr>
          <w:sz w:val="24"/>
          <w:szCs w:val="24"/>
        </w:rPr>
        <w:t>3 dicembre</w:t>
      </w:r>
      <w:r>
        <w:rPr>
          <w:sz w:val="24"/>
          <w:szCs w:val="24"/>
        </w:rPr>
        <w:t xml:space="preserve"> 2014</w:t>
      </w:r>
    </w:p>
    <w:p w:rsidR="001B0622" w:rsidRDefault="001B0622" w:rsidP="005C5CCC">
      <w:pPr>
        <w:ind w:hanging="90"/>
        <w:rPr>
          <w:sz w:val="24"/>
          <w:szCs w:val="24"/>
        </w:rPr>
      </w:pPr>
    </w:p>
    <w:p w:rsidR="001B0622" w:rsidRDefault="001B0622" w:rsidP="001B0622">
      <w:pPr>
        <w:spacing w:after="0" w:line="240" w:lineRule="auto"/>
        <w:ind w:left="581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 DIRETTORE GENERALE</w:t>
      </w:r>
    </w:p>
    <w:p w:rsidR="001B0622" w:rsidRDefault="001B0622" w:rsidP="001B0622">
      <w:pPr>
        <w:spacing w:after="0" w:line="240" w:lineRule="auto"/>
        <w:ind w:left="5940" w:right="-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– Dr. Piero Cappelletti –</w:t>
      </w:r>
    </w:p>
    <w:p w:rsidR="001B0622" w:rsidRDefault="001B0622" w:rsidP="001B0622">
      <w:pPr>
        <w:spacing w:line="240" w:lineRule="auto"/>
        <w:rPr>
          <w:rFonts w:ascii="Calibri" w:eastAsia="Calibri" w:hAnsi="Calibri" w:cs="Times New Roman"/>
          <w:snapToGrid w:val="0"/>
        </w:rPr>
      </w:pPr>
    </w:p>
    <w:p w:rsidR="001B0622" w:rsidRPr="005C5CCC" w:rsidRDefault="001B0622" w:rsidP="001B0622">
      <w:pPr>
        <w:ind w:hanging="90"/>
        <w:rPr>
          <w:sz w:val="24"/>
          <w:szCs w:val="24"/>
        </w:rPr>
      </w:pPr>
    </w:p>
    <w:sectPr w:rsidR="001B0622" w:rsidRPr="005C5CCC" w:rsidSect="00F42C09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C1" w:rsidRDefault="00AA17C1" w:rsidP="0036369C">
      <w:pPr>
        <w:spacing w:after="0" w:line="240" w:lineRule="auto"/>
      </w:pPr>
      <w:r>
        <w:separator/>
      </w:r>
    </w:p>
  </w:endnote>
  <w:endnote w:type="continuationSeparator" w:id="0">
    <w:p w:rsidR="00AA17C1" w:rsidRDefault="00AA17C1" w:rsidP="0036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cimaWE">
    <w:altName w:val="Decima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ecimaWERg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3443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3443498"/>
          <w:docPartObj>
            <w:docPartGallery w:val="Page Numbers (Margins)"/>
            <w:docPartUnique/>
          </w:docPartObj>
        </w:sdtPr>
        <w:sdtEndPr/>
        <w:sdtContent>
          <w:p w:rsidR="002F31DB" w:rsidRDefault="001E759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398780" cy="304165"/>
                      <wp:effectExtent l="9525" t="9525" r="1270" b="63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304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31DB" w:rsidRPr="00627C7B" w:rsidRDefault="002F31DB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627C7B"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627C7B">
                                    <w:rPr>
                                      <w:sz w:val="20"/>
                                      <w:szCs w:val="20"/>
                                    </w:rPr>
                                    <w:instrText xml:space="preserve"> PAGE    \* MERGEFORMAT </w:instrText>
                                  </w:r>
                                  <w:r w:rsidRPr="00627C7B"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1E7592" w:rsidRPr="001E7592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627C7B"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0;margin-top:0;width:31.4pt;height:23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" fillcolor="#365f91 [2404]" stroked="f">
                      <v:textbox>
                        <w:txbxContent>
                          <w:p w:rsidR="002F31DB" w:rsidRPr="00627C7B" w:rsidRDefault="002F31DB">
                            <w:pPr>
                              <w:pStyle w:val="Pidipagina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7C7B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27C7B"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627C7B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E7592" w:rsidRPr="001E7592">
                              <w:rPr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Pr="00627C7B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F31DB" w:rsidRDefault="002F31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C1" w:rsidRDefault="00AA17C1" w:rsidP="0036369C">
      <w:pPr>
        <w:spacing w:after="0" w:line="240" w:lineRule="auto"/>
      </w:pPr>
      <w:r>
        <w:separator/>
      </w:r>
    </w:p>
  </w:footnote>
  <w:footnote w:type="continuationSeparator" w:id="0">
    <w:p w:rsidR="00AA17C1" w:rsidRDefault="00AA17C1" w:rsidP="0036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DB" w:rsidRDefault="002F31DB">
    <w:pPr>
      <w:pStyle w:val="Intestazione"/>
    </w:pPr>
  </w:p>
  <w:p w:rsidR="002F31DB" w:rsidRDefault="002F31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93"/>
    </w:tblGrid>
    <w:tr w:rsidR="002F31DB" w:rsidTr="0094687A">
      <w:trPr>
        <w:cantSplit/>
        <w:jc w:val="center"/>
      </w:trPr>
      <w:tc>
        <w:tcPr>
          <w:tcW w:w="9693" w:type="dxa"/>
        </w:tcPr>
        <w:p w:rsidR="002F31DB" w:rsidRDefault="002F31DB" w:rsidP="0094687A">
          <w:pPr>
            <w:pStyle w:val="Intestazione"/>
            <w:tabs>
              <w:tab w:val="clear" w:pos="4819"/>
            </w:tabs>
            <w:ind w:right="-43"/>
            <w:jc w:val="center"/>
            <w:rPr>
              <w:rFonts w:ascii="Calibri" w:eastAsia="Calibri" w:hAnsi="Calibri" w:cs="Times New Roman"/>
              <w:color w:val="0000FF"/>
              <w:spacing w:val="5"/>
              <w:sz w:val="40"/>
            </w:rPr>
          </w:pPr>
          <w:r>
            <w:rPr>
              <w:rFonts w:ascii="Calibri" w:eastAsia="Calibri" w:hAnsi="Calibri" w:cs="Times New Roman"/>
              <w:color w:val="0000FF"/>
              <w:spacing w:val="15"/>
              <w:sz w:val="40"/>
            </w:rPr>
            <w:t>CENTRO DI RIFERIMENTO ONCOLOGICO</w:t>
          </w:r>
        </w:p>
        <w:p w:rsidR="002F31DB" w:rsidRDefault="002F31DB" w:rsidP="0094687A">
          <w:pPr>
            <w:pStyle w:val="Intestazione"/>
            <w:tabs>
              <w:tab w:val="clear" w:pos="4819"/>
            </w:tabs>
            <w:jc w:val="center"/>
            <w:rPr>
              <w:rFonts w:ascii="Calibri" w:eastAsia="Calibri" w:hAnsi="Calibri" w:cs="Times New Roman"/>
              <w:color w:val="0000FF"/>
              <w:spacing w:val="5"/>
              <w:sz w:val="36"/>
            </w:rPr>
          </w:pPr>
          <w:r>
            <w:rPr>
              <w:rFonts w:ascii="Calibri" w:eastAsia="Calibri" w:hAnsi="Calibri" w:cs="Times New Roman"/>
              <w:color w:val="0000FF"/>
            </w:rPr>
            <w:t>ISTITUTO NAZIONALE TUMORI - AVIANO</w:t>
          </w:r>
        </w:p>
      </w:tc>
    </w:tr>
    <w:tr w:rsidR="002F31DB" w:rsidTr="0094687A">
      <w:trPr>
        <w:cantSplit/>
        <w:jc w:val="center"/>
      </w:trPr>
      <w:tc>
        <w:tcPr>
          <w:tcW w:w="9693" w:type="dxa"/>
        </w:tcPr>
        <w:p w:rsidR="002F31DB" w:rsidRDefault="002F31DB" w:rsidP="0094687A">
          <w:pPr>
            <w:pStyle w:val="Intestazione"/>
            <w:tabs>
              <w:tab w:val="clear" w:pos="4819"/>
            </w:tabs>
            <w:ind w:right="-530"/>
            <w:jc w:val="center"/>
            <w:rPr>
              <w:rFonts w:ascii="Calibri" w:eastAsia="Calibri" w:hAnsi="Calibri" w:cs="Times New Roman"/>
              <w:color w:val="0000FF"/>
              <w:sz w:val="8"/>
            </w:rPr>
          </w:pPr>
        </w:p>
        <w:p w:rsidR="002F31DB" w:rsidRDefault="002F31DB" w:rsidP="0094687A">
          <w:pPr>
            <w:pStyle w:val="Intestazione"/>
            <w:tabs>
              <w:tab w:val="clear" w:pos="4819"/>
            </w:tabs>
            <w:ind w:right="-43"/>
            <w:jc w:val="center"/>
            <w:rPr>
              <w:rFonts w:ascii="Calibri" w:eastAsia="Calibri" w:hAnsi="Calibri" w:cs="Times New Roman"/>
              <w:color w:val="0000FF"/>
              <w:sz w:val="16"/>
            </w:rPr>
          </w:pPr>
          <w:r>
            <w:rPr>
              <w:rFonts w:ascii="Calibri" w:eastAsia="Calibri" w:hAnsi="Calibri" w:cs="Times New Roman"/>
              <w:color w:val="0000FF"/>
              <w:sz w:val="18"/>
            </w:rPr>
            <w:t>ISTITUTO DI RICOVERO E CURA A CARATTERE SCIENTIFICO DI DIRITTO PUBBLICO (D.I. 31/07/90)</w:t>
          </w:r>
        </w:p>
        <w:p w:rsidR="002F31DB" w:rsidRDefault="002F31DB" w:rsidP="0094687A">
          <w:pPr>
            <w:pStyle w:val="Intestazione"/>
            <w:tabs>
              <w:tab w:val="clear" w:pos="4819"/>
            </w:tabs>
            <w:jc w:val="center"/>
            <w:rPr>
              <w:rFonts w:ascii="Calibri" w:eastAsia="Calibri" w:hAnsi="Calibri" w:cs="Times New Roman"/>
              <w:color w:val="0000FF"/>
              <w:sz w:val="32"/>
            </w:rPr>
          </w:pPr>
          <w:r>
            <w:rPr>
              <w:rFonts w:ascii="Calibri" w:eastAsia="Calibri" w:hAnsi="Calibri" w:cs="Times New Roman"/>
              <w:color w:val="0000FF"/>
              <w:sz w:val="18"/>
            </w:rPr>
            <w:t>Via Franco Gallini, 2 - 33081 AVIANO - Italy - C.F. P.I. 00623340932 - Tel. 39-434-659111 - Fax 39-434-652182</w:t>
          </w:r>
          <w:r>
            <w:rPr>
              <w:rFonts w:ascii="Calibri" w:eastAsia="Calibri" w:hAnsi="Calibri" w:cs="Times New Roman"/>
              <w:color w:val="0000FF"/>
              <w:sz w:val="8"/>
            </w:rPr>
            <w:t>.</w:t>
          </w:r>
        </w:p>
      </w:tc>
    </w:tr>
  </w:tbl>
  <w:p w:rsidR="002F31DB" w:rsidRPr="005E2D65" w:rsidRDefault="002F31DB" w:rsidP="0094687A">
    <w:pPr>
      <w:pStyle w:val="Intestazione"/>
      <w:rPr>
        <w:rFonts w:ascii="Calibri" w:eastAsia="Calibri" w:hAnsi="Calibri" w:cs="Times New Roman"/>
        <w:sz w:val="14"/>
        <w:szCs w:val="14"/>
      </w:rPr>
    </w:pPr>
  </w:p>
  <w:p w:rsidR="002F31DB" w:rsidRDefault="002F31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0C46"/>
    <w:multiLevelType w:val="hybridMultilevel"/>
    <w:tmpl w:val="B7444222"/>
    <w:lvl w:ilvl="0" w:tplc="2E3E7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1DD8"/>
    <w:multiLevelType w:val="hybridMultilevel"/>
    <w:tmpl w:val="34FE3A44"/>
    <w:lvl w:ilvl="0" w:tplc="9B94034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  <w:color w:val="auto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0FB2532D"/>
    <w:multiLevelType w:val="hybridMultilevel"/>
    <w:tmpl w:val="7C786F6A"/>
    <w:lvl w:ilvl="0" w:tplc="2E3E7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155"/>
    <w:multiLevelType w:val="hybridMultilevel"/>
    <w:tmpl w:val="C38C495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1911503C"/>
    <w:multiLevelType w:val="hybridMultilevel"/>
    <w:tmpl w:val="B58C3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F15"/>
    <w:multiLevelType w:val="hybridMultilevel"/>
    <w:tmpl w:val="7FC40D70"/>
    <w:lvl w:ilvl="0" w:tplc="2E3E73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47DB5"/>
    <w:multiLevelType w:val="hybridMultilevel"/>
    <w:tmpl w:val="38E2C0E0"/>
    <w:lvl w:ilvl="0" w:tplc="AF6A1C0C">
      <w:numFmt w:val="bullet"/>
      <w:lvlText w:val="–"/>
      <w:lvlJc w:val="left"/>
      <w:pPr>
        <w:ind w:left="61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7">
    <w:nsid w:val="21090BE4"/>
    <w:multiLevelType w:val="hybridMultilevel"/>
    <w:tmpl w:val="CB981F0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A3D10"/>
    <w:multiLevelType w:val="hybridMultilevel"/>
    <w:tmpl w:val="7EF882A0"/>
    <w:lvl w:ilvl="0" w:tplc="0410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16974BC"/>
    <w:multiLevelType w:val="hybridMultilevel"/>
    <w:tmpl w:val="302C98EA"/>
    <w:lvl w:ilvl="0" w:tplc="0AE2DC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BC0307"/>
    <w:multiLevelType w:val="hybridMultilevel"/>
    <w:tmpl w:val="B6BE20FE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BA53C22"/>
    <w:multiLevelType w:val="hybridMultilevel"/>
    <w:tmpl w:val="4804587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37A3D12"/>
    <w:multiLevelType w:val="hybridMultilevel"/>
    <w:tmpl w:val="220804A8"/>
    <w:lvl w:ilvl="0" w:tplc="2E3E7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54BD4"/>
    <w:multiLevelType w:val="hybridMultilevel"/>
    <w:tmpl w:val="7AE07282"/>
    <w:lvl w:ilvl="0" w:tplc="9B94034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Garamond" w:hAnsi="Garamond" w:hint="default"/>
        <w:color w:val="auto"/>
        <w:sz w:val="22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762115"/>
    <w:multiLevelType w:val="hybridMultilevel"/>
    <w:tmpl w:val="9BEC1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43966"/>
    <w:multiLevelType w:val="hybridMultilevel"/>
    <w:tmpl w:val="55A8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74A54"/>
    <w:multiLevelType w:val="hybridMultilevel"/>
    <w:tmpl w:val="6438360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2C32EF"/>
    <w:multiLevelType w:val="hybridMultilevel"/>
    <w:tmpl w:val="22D0F874"/>
    <w:lvl w:ilvl="0" w:tplc="0FFEE8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13"/>
  </w:num>
  <w:num w:numId="8">
    <w:abstractNumId w:val="12"/>
  </w:num>
  <w:num w:numId="9">
    <w:abstractNumId w:val="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10"/>
  </w:num>
  <w:num w:numId="14">
    <w:abstractNumId w:val="8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3C"/>
    <w:rsid w:val="0001405B"/>
    <w:rsid w:val="00024E12"/>
    <w:rsid w:val="000472B0"/>
    <w:rsid w:val="00051DB7"/>
    <w:rsid w:val="000578B2"/>
    <w:rsid w:val="00062BAB"/>
    <w:rsid w:val="00066759"/>
    <w:rsid w:val="00066F35"/>
    <w:rsid w:val="00077E09"/>
    <w:rsid w:val="000A771C"/>
    <w:rsid w:val="000B1AC5"/>
    <w:rsid w:val="000C3A3A"/>
    <w:rsid w:val="000E49A3"/>
    <w:rsid w:val="000E7920"/>
    <w:rsid w:val="00124825"/>
    <w:rsid w:val="00141A36"/>
    <w:rsid w:val="001604DD"/>
    <w:rsid w:val="001772F1"/>
    <w:rsid w:val="001A7087"/>
    <w:rsid w:val="001B0622"/>
    <w:rsid w:val="001B0D30"/>
    <w:rsid w:val="001D4793"/>
    <w:rsid w:val="001E1C5C"/>
    <w:rsid w:val="001E7592"/>
    <w:rsid w:val="00203B24"/>
    <w:rsid w:val="002231D5"/>
    <w:rsid w:val="0022431E"/>
    <w:rsid w:val="00230840"/>
    <w:rsid w:val="00236706"/>
    <w:rsid w:val="002638B8"/>
    <w:rsid w:val="002703D2"/>
    <w:rsid w:val="002C32A0"/>
    <w:rsid w:val="002C7C26"/>
    <w:rsid w:val="002F31DB"/>
    <w:rsid w:val="002F6C2B"/>
    <w:rsid w:val="00316D74"/>
    <w:rsid w:val="00353204"/>
    <w:rsid w:val="0036369C"/>
    <w:rsid w:val="00376705"/>
    <w:rsid w:val="003809FD"/>
    <w:rsid w:val="0039145B"/>
    <w:rsid w:val="00396658"/>
    <w:rsid w:val="003A2AB7"/>
    <w:rsid w:val="003B07A7"/>
    <w:rsid w:val="00405BF3"/>
    <w:rsid w:val="00412CD2"/>
    <w:rsid w:val="00422258"/>
    <w:rsid w:val="00431E54"/>
    <w:rsid w:val="00433EB3"/>
    <w:rsid w:val="004470CB"/>
    <w:rsid w:val="00483403"/>
    <w:rsid w:val="00495AAE"/>
    <w:rsid w:val="004A63EC"/>
    <w:rsid w:val="004B0806"/>
    <w:rsid w:val="004C3FAA"/>
    <w:rsid w:val="004D667E"/>
    <w:rsid w:val="004F1414"/>
    <w:rsid w:val="0050623C"/>
    <w:rsid w:val="00511302"/>
    <w:rsid w:val="005201D6"/>
    <w:rsid w:val="005216CA"/>
    <w:rsid w:val="005402AE"/>
    <w:rsid w:val="005446E8"/>
    <w:rsid w:val="0054557A"/>
    <w:rsid w:val="00545B6D"/>
    <w:rsid w:val="0054684F"/>
    <w:rsid w:val="00592938"/>
    <w:rsid w:val="005C3631"/>
    <w:rsid w:val="005C5CCC"/>
    <w:rsid w:val="005E462A"/>
    <w:rsid w:val="005F05C2"/>
    <w:rsid w:val="005F4D47"/>
    <w:rsid w:val="00625D4D"/>
    <w:rsid w:val="00627C7B"/>
    <w:rsid w:val="00666B02"/>
    <w:rsid w:val="00693488"/>
    <w:rsid w:val="00695F99"/>
    <w:rsid w:val="006A2930"/>
    <w:rsid w:val="006B0682"/>
    <w:rsid w:val="006B539C"/>
    <w:rsid w:val="006C1942"/>
    <w:rsid w:val="006C4482"/>
    <w:rsid w:val="006C789A"/>
    <w:rsid w:val="006D3D68"/>
    <w:rsid w:val="00713D3E"/>
    <w:rsid w:val="007267FA"/>
    <w:rsid w:val="00731060"/>
    <w:rsid w:val="00752108"/>
    <w:rsid w:val="00764714"/>
    <w:rsid w:val="007670F0"/>
    <w:rsid w:val="0078215A"/>
    <w:rsid w:val="007B7AF5"/>
    <w:rsid w:val="007C3476"/>
    <w:rsid w:val="007D009A"/>
    <w:rsid w:val="00805CAD"/>
    <w:rsid w:val="008122D5"/>
    <w:rsid w:val="00814D55"/>
    <w:rsid w:val="0082088A"/>
    <w:rsid w:val="008314DD"/>
    <w:rsid w:val="00834B71"/>
    <w:rsid w:val="00842830"/>
    <w:rsid w:val="00850509"/>
    <w:rsid w:val="008B0EDA"/>
    <w:rsid w:val="008B46BD"/>
    <w:rsid w:val="008C6AF5"/>
    <w:rsid w:val="008C6F0B"/>
    <w:rsid w:val="008F5D53"/>
    <w:rsid w:val="00901685"/>
    <w:rsid w:val="009030D0"/>
    <w:rsid w:val="009131A5"/>
    <w:rsid w:val="0091343C"/>
    <w:rsid w:val="00922F41"/>
    <w:rsid w:val="009265D9"/>
    <w:rsid w:val="00927899"/>
    <w:rsid w:val="00936A4A"/>
    <w:rsid w:val="00937659"/>
    <w:rsid w:val="0094687A"/>
    <w:rsid w:val="00954248"/>
    <w:rsid w:val="00960218"/>
    <w:rsid w:val="009637FE"/>
    <w:rsid w:val="00982224"/>
    <w:rsid w:val="00992E66"/>
    <w:rsid w:val="009951C8"/>
    <w:rsid w:val="009A4D6F"/>
    <w:rsid w:val="009B12D6"/>
    <w:rsid w:val="009B17FA"/>
    <w:rsid w:val="009D0FEC"/>
    <w:rsid w:val="009D317A"/>
    <w:rsid w:val="009E2510"/>
    <w:rsid w:val="00A01A8E"/>
    <w:rsid w:val="00A20AEC"/>
    <w:rsid w:val="00A300ED"/>
    <w:rsid w:val="00A3222D"/>
    <w:rsid w:val="00A70425"/>
    <w:rsid w:val="00A769CD"/>
    <w:rsid w:val="00A976B5"/>
    <w:rsid w:val="00AA17C1"/>
    <w:rsid w:val="00AA3C97"/>
    <w:rsid w:val="00AE536C"/>
    <w:rsid w:val="00AF0325"/>
    <w:rsid w:val="00AF0B48"/>
    <w:rsid w:val="00B26055"/>
    <w:rsid w:val="00B32640"/>
    <w:rsid w:val="00B81973"/>
    <w:rsid w:val="00B97AAF"/>
    <w:rsid w:val="00BA2F7C"/>
    <w:rsid w:val="00BD464A"/>
    <w:rsid w:val="00BD7753"/>
    <w:rsid w:val="00C343C7"/>
    <w:rsid w:val="00C46C96"/>
    <w:rsid w:val="00C752AE"/>
    <w:rsid w:val="00C80E0F"/>
    <w:rsid w:val="00C83251"/>
    <w:rsid w:val="00CA365E"/>
    <w:rsid w:val="00CC18E3"/>
    <w:rsid w:val="00CE58E9"/>
    <w:rsid w:val="00D02F0A"/>
    <w:rsid w:val="00D218CE"/>
    <w:rsid w:val="00D404C0"/>
    <w:rsid w:val="00D4314D"/>
    <w:rsid w:val="00D510B5"/>
    <w:rsid w:val="00D646CB"/>
    <w:rsid w:val="00D70094"/>
    <w:rsid w:val="00D82C78"/>
    <w:rsid w:val="00DA3483"/>
    <w:rsid w:val="00DA5744"/>
    <w:rsid w:val="00DB5A99"/>
    <w:rsid w:val="00E03E2A"/>
    <w:rsid w:val="00E11D87"/>
    <w:rsid w:val="00E15FD1"/>
    <w:rsid w:val="00E336E8"/>
    <w:rsid w:val="00E46CE6"/>
    <w:rsid w:val="00E6425B"/>
    <w:rsid w:val="00E80D43"/>
    <w:rsid w:val="00E95BCF"/>
    <w:rsid w:val="00EA1A8E"/>
    <w:rsid w:val="00EB56EC"/>
    <w:rsid w:val="00EC3C1A"/>
    <w:rsid w:val="00EF0BC2"/>
    <w:rsid w:val="00F301A4"/>
    <w:rsid w:val="00F413F1"/>
    <w:rsid w:val="00F42C09"/>
    <w:rsid w:val="00F45015"/>
    <w:rsid w:val="00F47B33"/>
    <w:rsid w:val="00F53E2F"/>
    <w:rsid w:val="00F71699"/>
    <w:rsid w:val="00F9436F"/>
    <w:rsid w:val="00F96EA2"/>
    <w:rsid w:val="00FE6C3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A8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6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70F0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954248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42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nhideWhenUsed/>
    <w:rsid w:val="006C7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3809FD"/>
    <w:pPr>
      <w:tabs>
        <w:tab w:val="decimal" w:pos="360"/>
      </w:tabs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809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09FD"/>
    <w:rPr>
      <w:rFonts w:eastAsiaTheme="minorEastAsia"/>
      <w:sz w:val="20"/>
      <w:szCs w:val="20"/>
    </w:rPr>
  </w:style>
  <w:style w:type="character" w:styleId="Enfasidelicata">
    <w:name w:val="Subtle Emphasis"/>
    <w:basedOn w:val="Carpredefinitoparagrafo"/>
    <w:uiPriority w:val="19"/>
    <w:qFormat/>
    <w:rsid w:val="003809FD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380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2-Colore1">
    <w:name w:val="Medium List 2 Accent 1"/>
    <w:basedOn w:val="Tabellanormale"/>
    <w:uiPriority w:val="66"/>
    <w:rsid w:val="003809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ellanormale"/>
    <w:uiPriority w:val="99"/>
    <w:qFormat/>
    <w:rsid w:val="00380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2F31DB"/>
    <w:pPr>
      <w:keepNext/>
      <w:tabs>
        <w:tab w:val="right" w:leader="dot" w:pos="9628"/>
      </w:tabs>
      <w:spacing w:after="0" w:line="480" w:lineRule="auto"/>
    </w:pPr>
    <w:rPr>
      <w:b/>
      <w:bCs/>
      <w:noProof/>
      <w:sz w:val="28"/>
      <w:szCs w:val="28"/>
    </w:rPr>
  </w:style>
  <w:style w:type="paragraph" w:styleId="Indice2">
    <w:name w:val="index 2"/>
    <w:basedOn w:val="Normale"/>
    <w:next w:val="Normale"/>
    <w:autoRedefine/>
    <w:uiPriority w:val="99"/>
    <w:unhideWhenUsed/>
    <w:rsid w:val="0036369C"/>
    <w:pPr>
      <w:spacing w:after="0"/>
      <w:ind w:left="440" w:hanging="220"/>
    </w:pPr>
    <w:rPr>
      <w:sz w:val="20"/>
      <w:szCs w:val="20"/>
    </w:rPr>
  </w:style>
  <w:style w:type="paragraph" w:styleId="Indice3">
    <w:name w:val="index 3"/>
    <w:basedOn w:val="Normale"/>
    <w:next w:val="Normale"/>
    <w:autoRedefine/>
    <w:uiPriority w:val="99"/>
    <w:unhideWhenUsed/>
    <w:rsid w:val="0036369C"/>
    <w:pPr>
      <w:spacing w:after="0"/>
      <w:ind w:left="660" w:hanging="220"/>
    </w:pPr>
    <w:rPr>
      <w:sz w:val="20"/>
      <w:szCs w:val="20"/>
    </w:rPr>
  </w:style>
  <w:style w:type="paragraph" w:styleId="Indice4">
    <w:name w:val="index 4"/>
    <w:basedOn w:val="Normale"/>
    <w:next w:val="Normale"/>
    <w:autoRedefine/>
    <w:uiPriority w:val="99"/>
    <w:unhideWhenUsed/>
    <w:rsid w:val="0036369C"/>
    <w:pPr>
      <w:spacing w:after="0"/>
      <w:ind w:left="880" w:hanging="220"/>
    </w:pPr>
    <w:rPr>
      <w:sz w:val="20"/>
      <w:szCs w:val="20"/>
    </w:rPr>
  </w:style>
  <w:style w:type="paragraph" w:styleId="Indice5">
    <w:name w:val="index 5"/>
    <w:basedOn w:val="Normale"/>
    <w:next w:val="Normale"/>
    <w:autoRedefine/>
    <w:uiPriority w:val="99"/>
    <w:unhideWhenUsed/>
    <w:rsid w:val="0036369C"/>
    <w:pPr>
      <w:spacing w:after="0"/>
      <w:ind w:left="1100" w:hanging="220"/>
    </w:pPr>
    <w:rPr>
      <w:sz w:val="20"/>
      <w:szCs w:val="20"/>
    </w:rPr>
  </w:style>
  <w:style w:type="paragraph" w:styleId="Indice6">
    <w:name w:val="index 6"/>
    <w:basedOn w:val="Normale"/>
    <w:next w:val="Normale"/>
    <w:autoRedefine/>
    <w:uiPriority w:val="99"/>
    <w:unhideWhenUsed/>
    <w:rsid w:val="0036369C"/>
    <w:pPr>
      <w:spacing w:after="0"/>
      <w:ind w:left="1320" w:hanging="220"/>
    </w:pPr>
    <w:rPr>
      <w:sz w:val="20"/>
      <w:szCs w:val="20"/>
    </w:rPr>
  </w:style>
  <w:style w:type="paragraph" w:styleId="Indice7">
    <w:name w:val="index 7"/>
    <w:basedOn w:val="Normale"/>
    <w:next w:val="Normale"/>
    <w:autoRedefine/>
    <w:uiPriority w:val="99"/>
    <w:unhideWhenUsed/>
    <w:rsid w:val="0036369C"/>
    <w:pPr>
      <w:spacing w:after="0"/>
      <w:ind w:left="1540" w:hanging="220"/>
    </w:pPr>
    <w:rPr>
      <w:sz w:val="20"/>
      <w:szCs w:val="20"/>
    </w:rPr>
  </w:style>
  <w:style w:type="paragraph" w:styleId="Indice8">
    <w:name w:val="index 8"/>
    <w:basedOn w:val="Normale"/>
    <w:next w:val="Normale"/>
    <w:autoRedefine/>
    <w:uiPriority w:val="99"/>
    <w:unhideWhenUsed/>
    <w:rsid w:val="0036369C"/>
    <w:pPr>
      <w:spacing w:after="0"/>
      <w:ind w:left="1760" w:hanging="220"/>
    </w:pPr>
    <w:rPr>
      <w:sz w:val="20"/>
      <w:szCs w:val="20"/>
    </w:rPr>
  </w:style>
  <w:style w:type="paragraph" w:styleId="Indice9">
    <w:name w:val="index 9"/>
    <w:basedOn w:val="Normale"/>
    <w:next w:val="Normale"/>
    <w:autoRedefine/>
    <w:uiPriority w:val="99"/>
    <w:unhideWhenUsed/>
    <w:rsid w:val="0036369C"/>
    <w:pPr>
      <w:spacing w:after="0"/>
      <w:ind w:left="1980" w:hanging="220"/>
    </w:pPr>
    <w:rPr>
      <w:sz w:val="20"/>
      <w:szCs w:val="20"/>
    </w:rPr>
  </w:style>
  <w:style w:type="paragraph" w:styleId="Titoloindice">
    <w:name w:val="index heading"/>
    <w:basedOn w:val="Normale"/>
    <w:next w:val="Indice1"/>
    <w:uiPriority w:val="99"/>
    <w:unhideWhenUsed/>
    <w:rsid w:val="0036369C"/>
    <w:pPr>
      <w:spacing w:after="0"/>
    </w:pPr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363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69C"/>
  </w:style>
  <w:style w:type="paragraph" w:styleId="Pidipagina">
    <w:name w:val="footer"/>
    <w:basedOn w:val="Normale"/>
    <w:link w:val="PidipaginaCarattere"/>
    <w:uiPriority w:val="99"/>
    <w:unhideWhenUsed/>
    <w:rsid w:val="00363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A8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62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70F0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954248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424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nhideWhenUsed/>
    <w:rsid w:val="006C7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Normale"/>
    <w:uiPriority w:val="40"/>
    <w:qFormat/>
    <w:rsid w:val="003809FD"/>
    <w:pPr>
      <w:tabs>
        <w:tab w:val="decimal" w:pos="360"/>
      </w:tabs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809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809FD"/>
    <w:rPr>
      <w:rFonts w:eastAsiaTheme="minorEastAsia"/>
      <w:sz w:val="20"/>
      <w:szCs w:val="20"/>
    </w:rPr>
  </w:style>
  <w:style w:type="character" w:styleId="Enfasidelicata">
    <w:name w:val="Subtle Emphasis"/>
    <w:basedOn w:val="Carpredefinitoparagrafo"/>
    <w:uiPriority w:val="19"/>
    <w:qFormat/>
    <w:rsid w:val="003809FD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3809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2-Colore1">
    <w:name w:val="Medium List 2 Accent 1"/>
    <w:basedOn w:val="Tabellanormale"/>
    <w:uiPriority w:val="66"/>
    <w:rsid w:val="003809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ellanormale"/>
    <w:uiPriority w:val="99"/>
    <w:qFormat/>
    <w:rsid w:val="00380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Indice1">
    <w:name w:val="index 1"/>
    <w:basedOn w:val="Normale"/>
    <w:next w:val="Normale"/>
    <w:autoRedefine/>
    <w:uiPriority w:val="99"/>
    <w:unhideWhenUsed/>
    <w:rsid w:val="002F31DB"/>
    <w:pPr>
      <w:keepNext/>
      <w:tabs>
        <w:tab w:val="right" w:leader="dot" w:pos="9628"/>
      </w:tabs>
      <w:spacing w:after="0" w:line="480" w:lineRule="auto"/>
    </w:pPr>
    <w:rPr>
      <w:b/>
      <w:bCs/>
      <w:noProof/>
      <w:sz w:val="28"/>
      <w:szCs w:val="28"/>
    </w:rPr>
  </w:style>
  <w:style w:type="paragraph" w:styleId="Indice2">
    <w:name w:val="index 2"/>
    <w:basedOn w:val="Normale"/>
    <w:next w:val="Normale"/>
    <w:autoRedefine/>
    <w:uiPriority w:val="99"/>
    <w:unhideWhenUsed/>
    <w:rsid w:val="0036369C"/>
    <w:pPr>
      <w:spacing w:after="0"/>
      <w:ind w:left="440" w:hanging="220"/>
    </w:pPr>
    <w:rPr>
      <w:sz w:val="20"/>
      <w:szCs w:val="20"/>
    </w:rPr>
  </w:style>
  <w:style w:type="paragraph" w:styleId="Indice3">
    <w:name w:val="index 3"/>
    <w:basedOn w:val="Normale"/>
    <w:next w:val="Normale"/>
    <w:autoRedefine/>
    <w:uiPriority w:val="99"/>
    <w:unhideWhenUsed/>
    <w:rsid w:val="0036369C"/>
    <w:pPr>
      <w:spacing w:after="0"/>
      <w:ind w:left="660" w:hanging="220"/>
    </w:pPr>
    <w:rPr>
      <w:sz w:val="20"/>
      <w:szCs w:val="20"/>
    </w:rPr>
  </w:style>
  <w:style w:type="paragraph" w:styleId="Indice4">
    <w:name w:val="index 4"/>
    <w:basedOn w:val="Normale"/>
    <w:next w:val="Normale"/>
    <w:autoRedefine/>
    <w:uiPriority w:val="99"/>
    <w:unhideWhenUsed/>
    <w:rsid w:val="0036369C"/>
    <w:pPr>
      <w:spacing w:after="0"/>
      <w:ind w:left="880" w:hanging="220"/>
    </w:pPr>
    <w:rPr>
      <w:sz w:val="20"/>
      <w:szCs w:val="20"/>
    </w:rPr>
  </w:style>
  <w:style w:type="paragraph" w:styleId="Indice5">
    <w:name w:val="index 5"/>
    <w:basedOn w:val="Normale"/>
    <w:next w:val="Normale"/>
    <w:autoRedefine/>
    <w:uiPriority w:val="99"/>
    <w:unhideWhenUsed/>
    <w:rsid w:val="0036369C"/>
    <w:pPr>
      <w:spacing w:after="0"/>
      <w:ind w:left="1100" w:hanging="220"/>
    </w:pPr>
    <w:rPr>
      <w:sz w:val="20"/>
      <w:szCs w:val="20"/>
    </w:rPr>
  </w:style>
  <w:style w:type="paragraph" w:styleId="Indice6">
    <w:name w:val="index 6"/>
    <w:basedOn w:val="Normale"/>
    <w:next w:val="Normale"/>
    <w:autoRedefine/>
    <w:uiPriority w:val="99"/>
    <w:unhideWhenUsed/>
    <w:rsid w:val="0036369C"/>
    <w:pPr>
      <w:spacing w:after="0"/>
      <w:ind w:left="1320" w:hanging="220"/>
    </w:pPr>
    <w:rPr>
      <w:sz w:val="20"/>
      <w:szCs w:val="20"/>
    </w:rPr>
  </w:style>
  <w:style w:type="paragraph" w:styleId="Indice7">
    <w:name w:val="index 7"/>
    <w:basedOn w:val="Normale"/>
    <w:next w:val="Normale"/>
    <w:autoRedefine/>
    <w:uiPriority w:val="99"/>
    <w:unhideWhenUsed/>
    <w:rsid w:val="0036369C"/>
    <w:pPr>
      <w:spacing w:after="0"/>
      <w:ind w:left="1540" w:hanging="220"/>
    </w:pPr>
    <w:rPr>
      <w:sz w:val="20"/>
      <w:szCs w:val="20"/>
    </w:rPr>
  </w:style>
  <w:style w:type="paragraph" w:styleId="Indice8">
    <w:name w:val="index 8"/>
    <w:basedOn w:val="Normale"/>
    <w:next w:val="Normale"/>
    <w:autoRedefine/>
    <w:uiPriority w:val="99"/>
    <w:unhideWhenUsed/>
    <w:rsid w:val="0036369C"/>
    <w:pPr>
      <w:spacing w:after="0"/>
      <w:ind w:left="1760" w:hanging="220"/>
    </w:pPr>
    <w:rPr>
      <w:sz w:val="20"/>
      <w:szCs w:val="20"/>
    </w:rPr>
  </w:style>
  <w:style w:type="paragraph" w:styleId="Indice9">
    <w:name w:val="index 9"/>
    <w:basedOn w:val="Normale"/>
    <w:next w:val="Normale"/>
    <w:autoRedefine/>
    <w:uiPriority w:val="99"/>
    <w:unhideWhenUsed/>
    <w:rsid w:val="0036369C"/>
    <w:pPr>
      <w:spacing w:after="0"/>
      <w:ind w:left="1980" w:hanging="220"/>
    </w:pPr>
    <w:rPr>
      <w:sz w:val="20"/>
      <w:szCs w:val="20"/>
    </w:rPr>
  </w:style>
  <w:style w:type="paragraph" w:styleId="Titoloindice">
    <w:name w:val="index heading"/>
    <w:basedOn w:val="Normale"/>
    <w:next w:val="Indice1"/>
    <w:uiPriority w:val="99"/>
    <w:unhideWhenUsed/>
    <w:rsid w:val="0036369C"/>
    <w:pPr>
      <w:spacing w:after="0"/>
    </w:pPr>
    <w:rPr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363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69C"/>
  </w:style>
  <w:style w:type="paragraph" w:styleId="Pidipagina">
    <w:name w:val="footer"/>
    <w:basedOn w:val="Normale"/>
    <w:link w:val="PidipaginaCarattere"/>
    <w:uiPriority w:val="99"/>
    <w:unhideWhenUsed/>
    <w:rsid w:val="00363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469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4176">
              <w:marLeft w:val="0"/>
              <w:marRight w:val="0"/>
              <w:marTop w:val="14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6270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12951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3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4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F61A6-F7A9-4067-A3F0-70AAD88E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Informatico</dc:creator>
  <cp:lastModifiedBy>TLC</cp:lastModifiedBy>
  <cp:revision>2</cp:revision>
  <cp:lastPrinted>2014-12-09T09:18:00Z</cp:lastPrinted>
  <dcterms:created xsi:type="dcterms:W3CDTF">2015-06-08T15:05:00Z</dcterms:created>
  <dcterms:modified xsi:type="dcterms:W3CDTF">2015-06-08T15:05:00Z</dcterms:modified>
</cp:coreProperties>
</file>