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70" w:type="dxa"/>
          <w:right w:w="70" w:type="dxa"/>
        </w:tblCellMar>
        <w:tblLook w:val="0000"/>
      </w:tblPr>
      <w:tblGrid>
        <w:gridCol w:w="9693"/>
      </w:tblGrid>
      <w:tr w:rsidR="00F47B33" w:rsidTr="00F47B33">
        <w:trPr>
          <w:cantSplit/>
          <w:jc w:val="center"/>
        </w:trPr>
        <w:tc>
          <w:tcPr>
            <w:tcW w:w="9693" w:type="dxa"/>
          </w:tcPr>
          <w:p w:rsidR="00F47B33" w:rsidRDefault="00F47B33" w:rsidP="00F47B33">
            <w:pPr>
              <w:pStyle w:val="Intestazione"/>
              <w:tabs>
                <w:tab w:val="clear" w:pos="4819"/>
              </w:tabs>
              <w:ind w:right="-43"/>
              <w:jc w:val="center"/>
              <w:rPr>
                <w:rFonts w:ascii="Calibri" w:eastAsia="Calibri" w:hAnsi="Calibri" w:cs="Times New Roman"/>
                <w:color w:val="0000FF"/>
                <w:spacing w:val="5"/>
                <w:sz w:val="40"/>
              </w:rPr>
            </w:pPr>
            <w:r>
              <w:rPr>
                <w:rFonts w:ascii="Calibri" w:eastAsia="Calibri" w:hAnsi="Calibri" w:cs="Times New Roman"/>
                <w:color w:val="0000FF"/>
                <w:spacing w:val="15"/>
                <w:sz w:val="40"/>
              </w:rPr>
              <w:t xml:space="preserve">CENTRO </w:t>
            </w:r>
            <w:proofErr w:type="spellStart"/>
            <w:r>
              <w:rPr>
                <w:rFonts w:ascii="Calibri" w:eastAsia="Calibri" w:hAnsi="Calibri" w:cs="Times New Roman"/>
                <w:color w:val="0000FF"/>
                <w:spacing w:val="15"/>
                <w:sz w:val="40"/>
              </w:rPr>
              <w:t>DI</w:t>
            </w:r>
            <w:proofErr w:type="spellEnd"/>
            <w:r>
              <w:rPr>
                <w:rFonts w:ascii="Calibri" w:eastAsia="Calibri" w:hAnsi="Calibri" w:cs="Times New Roman"/>
                <w:color w:val="0000FF"/>
                <w:spacing w:val="15"/>
                <w:sz w:val="40"/>
              </w:rPr>
              <w:t xml:space="preserve"> RIFERIMENTO ONCOLOGICO</w:t>
            </w:r>
          </w:p>
          <w:p w:rsidR="00F47B33" w:rsidRDefault="00F47B33" w:rsidP="00F47B33">
            <w:pPr>
              <w:pStyle w:val="Intestazione"/>
              <w:tabs>
                <w:tab w:val="clear" w:pos="4819"/>
              </w:tabs>
              <w:jc w:val="center"/>
              <w:rPr>
                <w:rFonts w:ascii="Calibri" w:eastAsia="Calibri" w:hAnsi="Calibri" w:cs="Times New Roman"/>
                <w:color w:val="0000FF"/>
                <w:spacing w:val="5"/>
                <w:sz w:val="36"/>
              </w:rPr>
            </w:pPr>
            <w:r>
              <w:rPr>
                <w:rFonts w:ascii="Calibri" w:eastAsia="Calibri" w:hAnsi="Calibri" w:cs="Times New Roman"/>
                <w:color w:val="0000FF"/>
              </w:rPr>
              <w:t>ISTITUTO NAZIONALE TUMORI - AVIANO</w:t>
            </w:r>
          </w:p>
        </w:tc>
      </w:tr>
      <w:tr w:rsidR="00F47B33" w:rsidTr="00F47B33">
        <w:trPr>
          <w:cantSplit/>
          <w:jc w:val="center"/>
        </w:trPr>
        <w:tc>
          <w:tcPr>
            <w:tcW w:w="9693" w:type="dxa"/>
          </w:tcPr>
          <w:p w:rsidR="00F47B33" w:rsidRDefault="00F47B33" w:rsidP="00F47B33">
            <w:pPr>
              <w:pStyle w:val="Intestazione"/>
              <w:tabs>
                <w:tab w:val="clear" w:pos="4819"/>
              </w:tabs>
              <w:ind w:right="-530"/>
              <w:jc w:val="center"/>
              <w:rPr>
                <w:rFonts w:ascii="Calibri" w:eastAsia="Calibri" w:hAnsi="Calibri" w:cs="Times New Roman"/>
                <w:color w:val="0000FF"/>
                <w:sz w:val="8"/>
              </w:rPr>
            </w:pPr>
          </w:p>
          <w:p w:rsidR="00F47B33" w:rsidRDefault="00F47B33" w:rsidP="00F47B33">
            <w:pPr>
              <w:pStyle w:val="Intestazione"/>
              <w:tabs>
                <w:tab w:val="clear" w:pos="4819"/>
              </w:tabs>
              <w:ind w:right="-43"/>
              <w:jc w:val="center"/>
              <w:rPr>
                <w:rFonts w:ascii="Calibri" w:eastAsia="Calibri" w:hAnsi="Calibri" w:cs="Times New Roman"/>
                <w:color w:val="0000FF"/>
                <w:sz w:val="16"/>
              </w:rPr>
            </w:pPr>
            <w:r>
              <w:rPr>
                <w:rFonts w:ascii="Calibri" w:eastAsia="Calibri" w:hAnsi="Calibri" w:cs="Times New Roman"/>
                <w:color w:val="0000FF"/>
                <w:sz w:val="18"/>
              </w:rPr>
              <w:t xml:space="preserve">ISTITUTO </w:t>
            </w:r>
            <w:proofErr w:type="spellStart"/>
            <w:r>
              <w:rPr>
                <w:rFonts w:ascii="Calibri" w:eastAsia="Calibri" w:hAnsi="Calibri" w:cs="Times New Roman"/>
                <w:color w:val="0000FF"/>
                <w:sz w:val="18"/>
              </w:rPr>
              <w:t>DI</w:t>
            </w:r>
            <w:proofErr w:type="spellEnd"/>
            <w:r>
              <w:rPr>
                <w:rFonts w:ascii="Calibri" w:eastAsia="Calibri" w:hAnsi="Calibri" w:cs="Times New Roman"/>
                <w:color w:val="0000FF"/>
                <w:sz w:val="18"/>
              </w:rPr>
              <w:t xml:space="preserve"> RICOVERO E CURA A CARATTERE SCIENTIFICO </w:t>
            </w:r>
            <w:proofErr w:type="spellStart"/>
            <w:r>
              <w:rPr>
                <w:rFonts w:ascii="Calibri" w:eastAsia="Calibri" w:hAnsi="Calibri" w:cs="Times New Roman"/>
                <w:color w:val="0000FF"/>
                <w:sz w:val="18"/>
              </w:rPr>
              <w:t>DI</w:t>
            </w:r>
            <w:proofErr w:type="spellEnd"/>
            <w:r>
              <w:rPr>
                <w:rFonts w:ascii="Calibri" w:eastAsia="Calibri" w:hAnsi="Calibri" w:cs="Times New Roman"/>
                <w:color w:val="0000FF"/>
                <w:sz w:val="18"/>
              </w:rPr>
              <w:t xml:space="preserve"> DIRITTO PUBBLICO (D.I. 31/07/90)</w:t>
            </w:r>
          </w:p>
          <w:p w:rsidR="00F47B33" w:rsidRDefault="00F47B33" w:rsidP="00F47B33">
            <w:pPr>
              <w:pStyle w:val="Intestazione"/>
              <w:tabs>
                <w:tab w:val="clear" w:pos="4819"/>
              </w:tabs>
              <w:jc w:val="center"/>
              <w:rPr>
                <w:rFonts w:ascii="Calibri" w:eastAsia="Calibri" w:hAnsi="Calibri" w:cs="Times New Roman"/>
                <w:color w:val="0000FF"/>
                <w:sz w:val="32"/>
              </w:rPr>
            </w:pPr>
            <w:r>
              <w:rPr>
                <w:rFonts w:ascii="Calibri" w:eastAsia="Calibri" w:hAnsi="Calibri" w:cs="Times New Roman"/>
                <w:color w:val="0000FF"/>
                <w:sz w:val="18"/>
              </w:rPr>
              <w:t xml:space="preserve">Via Franco </w:t>
            </w:r>
            <w:proofErr w:type="spellStart"/>
            <w:r>
              <w:rPr>
                <w:rFonts w:ascii="Calibri" w:eastAsia="Calibri" w:hAnsi="Calibri" w:cs="Times New Roman"/>
                <w:color w:val="0000FF"/>
                <w:sz w:val="18"/>
              </w:rPr>
              <w:t>Gallini</w:t>
            </w:r>
            <w:proofErr w:type="spellEnd"/>
            <w:r>
              <w:rPr>
                <w:rFonts w:ascii="Calibri" w:eastAsia="Calibri" w:hAnsi="Calibri" w:cs="Times New Roman"/>
                <w:color w:val="0000FF"/>
                <w:sz w:val="18"/>
              </w:rPr>
              <w:t>, 2 - 33081 AVIANO - Italy - C.F. P.I. 00623340932 - Tel. 39-434-659111 - Fax 39-434-652182</w:t>
            </w:r>
            <w:r>
              <w:rPr>
                <w:rFonts w:ascii="Calibri" w:eastAsia="Calibri" w:hAnsi="Calibri" w:cs="Times New Roman"/>
                <w:color w:val="0000FF"/>
                <w:sz w:val="8"/>
              </w:rPr>
              <w:t>.</w:t>
            </w:r>
          </w:p>
        </w:tc>
      </w:tr>
    </w:tbl>
    <w:p w:rsidR="009D0FEC" w:rsidRDefault="009D0FEC" w:rsidP="009030D0">
      <w:pPr>
        <w:pStyle w:val="Default"/>
        <w:jc w:val="center"/>
        <w:rPr>
          <w:rFonts w:asciiTheme="minorHAnsi" w:hAnsiTheme="minorHAnsi"/>
          <w:b/>
          <w:sz w:val="32"/>
          <w:szCs w:val="32"/>
        </w:rPr>
      </w:pPr>
    </w:p>
    <w:p w:rsidR="0094687A" w:rsidRDefault="0094687A" w:rsidP="009030D0">
      <w:pPr>
        <w:pStyle w:val="Default"/>
        <w:jc w:val="center"/>
        <w:rPr>
          <w:rFonts w:asciiTheme="minorHAnsi" w:hAnsiTheme="minorHAnsi"/>
          <w:b/>
          <w:sz w:val="32"/>
          <w:szCs w:val="32"/>
        </w:rPr>
      </w:pPr>
    </w:p>
    <w:p w:rsidR="004B0806" w:rsidRDefault="004B0806" w:rsidP="009030D0">
      <w:pPr>
        <w:pStyle w:val="Default"/>
        <w:jc w:val="center"/>
        <w:rPr>
          <w:rFonts w:asciiTheme="minorHAnsi" w:hAnsiTheme="minorHAnsi"/>
          <w:b/>
          <w:sz w:val="32"/>
          <w:szCs w:val="32"/>
        </w:rPr>
      </w:pPr>
    </w:p>
    <w:p w:rsidR="0094687A" w:rsidRDefault="0094687A" w:rsidP="009030D0">
      <w:pPr>
        <w:pStyle w:val="Default"/>
        <w:jc w:val="center"/>
        <w:rPr>
          <w:rFonts w:asciiTheme="minorHAnsi" w:hAnsiTheme="minorHAnsi"/>
          <w:b/>
          <w:sz w:val="32"/>
          <w:szCs w:val="32"/>
        </w:rPr>
      </w:pPr>
    </w:p>
    <w:p w:rsidR="00A3222D" w:rsidRPr="00EC3C1A" w:rsidRDefault="00A3222D" w:rsidP="009030D0">
      <w:pPr>
        <w:pStyle w:val="Default"/>
        <w:jc w:val="center"/>
        <w:rPr>
          <w:rFonts w:asciiTheme="minorHAnsi" w:hAnsiTheme="minorHAnsi"/>
          <w:b/>
          <w:sz w:val="40"/>
          <w:szCs w:val="40"/>
        </w:rPr>
      </w:pPr>
      <w:r w:rsidRPr="00EC3C1A">
        <w:rPr>
          <w:rFonts w:asciiTheme="minorHAnsi" w:hAnsiTheme="minorHAnsi"/>
          <w:b/>
          <w:sz w:val="40"/>
          <w:szCs w:val="40"/>
        </w:rPr>
        <w:t>Relazione sulla performance anno 201</w:t>
      </w:r>
      <w:r w:rsidR="004E5B03">
        <w:rPr>
          <w:rFonts w:asciiTheme="minorHAnsi" w:hAnsiTheme="minorHAnsi"/>
          <w:b/>
          <w:sz w:val="40"/>
          <w:szCs w:val="40"/>
        </w:rPr>
        <w:t>5</w:t>
      </w:r>
    </w:p>
    <w:p w:rsidR="0036369C" w:rsidRDefault="0036369C" w:rsidP="00F71699">
      <w:pPr>
        <w:pStyle w:val="Default"/>
        <w:jc w:val="both"/>
        <w:rPr>
          <w:rFonts w:asciiTheme="minorHAnsi" w:hAnsiTheme="minorHAnsi"/>
        </w:rPr>
      </w:pPr>
    </w:p>
    <w:bookmarkStart w:id="0" w:name="Presentazione"/>
    <w:p w:rsidR="004C4770" w:rsidRDefault="00E976F7" w:rsidP="002F31DB">
      <w:pPr>
        <w:pStyle w:val="Indice1"/>
        <w:sectPr w:rsidR="004C4770" w:rsidSect="004C4770">
          <w:footerReference w:type="even" r:id="rId8"/>
          <w:footerReference w:type="default" r:id="rId9"/>
          <w:type w:val="continuous"/>
          <w:pgSz w:w="11906" w:h="16838"/>
          <w:pgMar w:top="1134" w:right="1134" w:bottom="1134" w:left="1134" w:header="720" w:footer="720" w:gutter="0"/>
          <w:pgNumType w:start="1"/>
          <w:cols w:space="720"/>
          <w:docGrid w:linePitch="360"/>
        </w:sectPr>
      </w:pPr>
      <w:r w:rsidRPr="00D218CE">
        <w:fldChar w:fldCharType="begin"/>
      </w:r>
      <w:r w:rsidR="00066F35" w:rsidRPr="00D218CE">
        <w:instrText xml:space="preserve"> INDEX \h " " \c "1" \z "1040" </w:instrText>
      </w:r>
      <w:r w:rsidRPr="00D218CE">
        <w:fldChar w:fldCharType="separate"/>
      </w:r>
    </w:p>
    <w:p w:rsidR="004C4770" w:rsidRDefault="004C4770">
      <w:pPr>
        <w:pStyle w:val="Titoloindice"/>
        <w:keepNext/>
        <w:tabs>
          <w:tab w:val="right" w:leader="dot" w:pos="9628"/>
        </w:tabs>
        <w:rPr>
          <w:rFonts w:eastAsiaTheme="minorEastAsia"/>
          <w:b/>
          <w:bCs/>
          <w:noProof/>
        </w:rPr>
      </w:pPr>
      <w:r>
        <w:rPr>
          <w:noProof/>
        </w:rPr>
        <w:lastRenderedPageBreak/>
        <w:t xml:space="preserve"> </w:t>
      </w:r>
    </w:p>
    <w:p w:rsidR="004C4770" w:rsidRDefault="004C4770">
      <w:pPr>
        <w:pStyle w:val="Indice1"/>
      </w:pPr>
      <w:r w:rsidRPr="00C031CA">
        <w:t>1 Presentazione</w:t>
      </w:r>
      <w:r>
        <w:tab/>
        <w:t>2</w:t>
      </w:r>
    </w:p>
    <w:p w:rsidR="004C4770" w:rsidRDefault="004C4770">
      <w:pPr>
        <w:pStyle w:val="Titoloindice"/>
        <w:keepNext/>
        <w:tabs>
          <w:tab w:val="right" w:leader="dot" w:pos="9628"/>
        </w:tabs>
        <w:rPr>
          <w:rFonts w:eastAsiaTheme="minorEastAsia"/>
          <w:b/>
          <w:bCs/>
          <w:noProof/>
        </w:rPr>
      </w:pPr>
      <w:r>
        <w:rPr>
          <w:noProof/>
        </w:rPr>
        <w:t xml:space="preserve"> </w:t>
      </w:r>
    </w:p>
    <w:p w:rsidR="004C4770" w:rsidRDefault="004C4770">
      <w:pPr>
        <w:pStyle w:val="Indice1"/>
      </w:pPr>
      <w:r w:rsidRPr="00C031CA">
        <w:t>2 Normativa di riferimento</w:t>
      </w:r>
      <w:r>
        <w:tab/>
        <w:t>2</w:t>
      </w:r>
    </w:p>
    <w:p w:rsidR="004C4770" w:rsidRDefault="004C4770">
      <w:pPr>
        <w:pStyle w:val="Titoloindice"/>
        <w:keepNext/>
        <w:tabs>
          <w:tab w:val="right" w:leader="dot" w:pos="9628"/>
        </w:tabs>
        <w:rPr>
          <w:rFonts w:eastAsiaTheme="minorEastAsia"/>
          <w:b/>
          <w:bCs/>
          <w:noProof/>
        </w:rPr>
      </w:pPr>
      <w:r>
        <w:rPr>
          <w:noProof/>
        </w:rPr>
        <w:t xml:space="preserve"> </w:t>
      </w:r>
    </w:p>
    <w:p w:rsidR="004C4770" w:rsidRDefault="004C4770">
      <w:pPr>
        <w:pStyle w:val="Indice1"/>
      </w:pPr>
      <w:r w:rsidRPr="00C031CA">
        <w:t>3 Programmazione triennale e annuale</w:t>
      </w:r>
      <w:r>
        <w:tab/>
        <w:t>3</w:t>
      </w:r>
    </w:p>
    <w:p w:rsidR="004C4770" w:rsidRPr="00814F55" w:rsidRDefault="004C4770">
      <w:pPr>
        <w:pStyle w:val="Indice1"/>
        <w:rPr>
          <w:sz w:val="24"/>
          <w:szCs w:val="24"/>
        </w:rPr>
      </w:pPr>
      <w:r w:rsidRPr="00814F55">
        <w:rPr>
          <w:sz w:val="24"/>
          <w:szCs w:val="24"/>
        </w:rPr>
        <w:t>3.1 Monitoraggio della gestione</w:t>
      </w:r>
      <w:r w:rsidRPr="00814F55">
        <w:rPr>
          <w:sz w:val="24"/>
          <w:szCs w:val="24"/>
        </w:rPr>
        <w:tab/>
        <w:t>5</w:t>
      </w:r>
    </w:p>
    <w:p w:rsidR="004C4770" w:rsidRDefault="004C4770">
      <w:pPr>
        <w:pStyle w:val="Titoloindice"/>
        <w:keepNext/>
        <w:tabs>
          <w:tab w:val="right" w:leader="dot" w:pos="9628"/>
        </w:tabs>
        <w:rPr>
          <w:rFonts w:eastAsiaTheme="minorEastAsia"/>
          <w:b/>
          <w:bCs/>
          <w:noProof/>
        </w:rPr>
      </w:pPr>
      <w:r>
        <w:rPr>
          <w:noProof/>
        </w:rPr>
        <w:t xml:space="preserve"> </w:t>
      </w:r>
    </w:p>
    <w:p w:rsidR="004C4770" w:rsidRDefault="004C4770">
      <w:pPr>
        <w:pStyle w:val="Indice1"/>
      </w:pPr>
      <w:r w:rsidRPr="00C031CA">
        <w:t>4 Gestione per budget</w:t>
      </w:r>
      <w:r w:rsidR="00814F55">
        <w:tab/>
      </w:r>
      <w:r>
        <w:t xml:space="preserve"> 36</w:t>
      </w:r>
    </w:p>
    <w:p w:rsidR="004C4770" w:rsidRPr="00814F55" w:rsidRDefault="004C4770">
      <w:pPr>
        <w:pStyle w:val="Indice1"/>
        <w:rPr>
          <w:sz w:val="24"/>
          <w:szCs w:val="24"/>
        </w:rPr>
      </w:pPr>
      <w:r w:rsidRPr="00814F55">
        <w:rPr>
          <w:sz w:val="24"/>
          <w:szCs w:val="24"/>
        </w:rPr>
        <w:t>4.1 Definizione degli obiettivi</w:t>
      </w:r>
      <w:r w:rsidR="00814F55" w:rsidRPr="00814F55">
        <w:rPr>
          <w:sz w:val="24"/>
          <w:szCs w:val="24"/>
        </w:rPr>
        <w:tab/>
      </w:r>
      <w:r w:rsidRPr="00814F55">
        <w:rPr>
          <w:sz w:val="24"/>
          <w:szCs w:val="24"/>
        </w:rPr>
        <w:t xml:space="preserve"> 36</w:t>
      </w:r>
    </w:p>
    <w:p w:rsidR="004C4770" w:rsidRPr="00814F55" w:rsidRDefault="004C4770">
      <w:pPr>
        <w:pStyle w:val="Indice1"/>
        <w:rPr>
          <w:sz w:val="24"/>
          <w:szCs w:val="24"/>
        </w:rPr>
      </w:pPr>
      <w:r w:rsidRPr="00814F55">
        <w:rPr>
          <w:sz w:val="24"/>
          <w:szCs w:val="24"/>
        </w:rPr>
        <w:t>4.2 Percorso di monitoraggio degli obiettivi/progetti</w:t>
      </w:r>
      <w:r w:rsidR="00814F55" w:rsidRPr="00814F55">
        <w:rPr>
          <w:sz w:val="24"/>
          <w:szCs w:val="24"/>
        </w:rPr>
        <w:tab/>
      </w:r>
      <w:r w:rsidRPr="00814F55">
        <w:rPr>
          <w:sz w:val="24"/>
          <w:szCs w:val="24"/>
        </w:rPr>
        <w:t xml:space="preserve"> 37</w:t>
      </w:r>
    </w:p>
    <w:p w:rsidR="004C4770" w:rsidRPr="00814F55" w:rsidRDefault="004C4770">
      <w:pPr>
        <w:pStyle w:val="Indice1"/>
        <w:rPr>
          <w:sz w:val="24"/>
          <w:szCs w:val="24"/>
        </w:rPr>
      </w:pPr>
      <w:r w:rsidRPr="00814F55">
        <w:rPr>
          <w:sz w:val="24"/>
          <w:szCs w:val="24"/>
        </w:rPr>
        <w:t>4.3 Valutazione della performance individuale</w:t>
      </w:r>
      <w:r w:rsidR="00814F55" w:rsidRPr="00814F55">
        <w:rPr>
          <w:sz w:val="24"/>
          <w:szCs w:val="24"/>
        </w:rPr>
        <w:tab/>
      </w:r>
      <w:r w:rsidRPr="00814F55">
        <w:rPr>
          <w:sz w:val="24"/>
          <w:szCs w:val="24"/>
        </w:rPr>
        <w:t xml:space="preserve"> 37</w:t>
      </w:r>
    </w:p>
    <w:p w:rsidR="004C4770" w:rsidRDefault="004C4770" w:rsidP="002F31DB">
      <w:pPr>
        <w:pStyle w:val="Indice1"/>
        <w:sectPr w:rsidR="004C4770" w:rsidSect="004C4770">
          <w:type w:val="continuous"/>
          <w:pgSz w:w="11906" w:h="16838"/>
          <w:pgMar w:top="1134" w:right="1134" w:bottom="1134" w:left="1134" w:header="720" w:footer="720" w:gutter="0"/>
          <w:cols w:space="720"/>
          <w:docGrid w:linePitch="360"/>
        </w:sectPr>
      </w:pPr>
    </w:p>
    <w:p w:rsidR="00DB5A99" w:rsidRDefault="00E976F7" w:rsidP="002F31DB">
      <w:pPr>
        <w:pStyle w:val="Indice1"/>
      </w:pPr>
      <w:r w:rsidRPr="00D218CE">
        <w:lastRenderedPageBreak/>
        <w:fldChar w:fldCharType="end"/>
      </w:r>
    </w:p>
    <w:p w:rsidR="00DB5A99" w:rsidRDefault="00DB5A99">
      <w:r>
        <w:br w:type="page"/>
      </w:r>
    </w:p>
    <w:p w:rsidR="00F71699" w:rsidRPr="00927899" w:rsidRDefault="00927899" w:rsidP="009030D0">
      <w:pPr>
        <w:pStyle w:val="Default"/>
        <w:jc w:val="both"/>
        <w:rPr>
          <w:rFonts w:asciiTheme="minorHAnsi" w:hAnsiTheme="minorHAnsi"/>
          <w:b/>
          <w:bCs/>
        </w:rPr>
      </w:pPr>
      <w:r>
        <w:rPr>
          <w:rFonts w:asciiTheme="minorHAnsi" w:hAnsiTheme="minorHAnsi"/>
          <w:b/>
          <w:bCs/>
          <w:sz w:val="28"/>
          <w:szCs w:val="28"/>
        </w:rPr>
        <w:lastRenderedPageBreak/>
        <w:t xml:space="preserve">1 </w:t>
      </w:r>
      <w:r w:rsidR="00F71699" w:rsidRPr="00927899">
        <w:rPr>
          <w:rFonts w:asciiTheme="minorHAnsi" w:hAnsiTheme="minorHAnsi"/>
          <w:b/>
          <w:bCs/>
          <w:sz w:val="28"/>
          <w:szCs w:val="28"/>
        </w:rPr>
        <w:t>Presentazione</w:t>
      </w:r>
      <w:r w:rsidR="00E976F7">
        <w:rPr>
          <w:rFonts w:asciiTheme="minorHAnsi" w:hAnsiTheme="minorHAnsi"/>
          <w:b/>
          <w:bCs/>
        </w:rPr>
        <w:fldChar w:fldCharType="begin"/>
      </w:r>
      <w:r w:rsidR="00F47B33">
        <w:instrText xml:space="preserve"> XE "</w:instrText>
      </w:r>
      <w:r w:rsidR="00F47B33" w:rsidRPr="00157E27">
        <w:rPr>
          <w:rFonts w:asciiTheme="minorHAnsi" w:hAnsiTheme="minorHAnsi"/>
          <w:b/>
          <w:bCs/>
          <w:sz w:val="28"/>
          <w:szCs w:val="28"/>
        </w:rPr>
        <w:instrText>1 Presentazione</w:instrText>
      </w:r>
      <w:r w:rsidR="00F47B33">
        <w:instrText xml:space="preserve">" </w:instrText>
      </w:r>
      <w:r w:rsidR="00E976F7">
        <w:rPr>
          <w:rFonts w:asciiTheme="minorHAnsi" w:hAnsiTheme="minorHAnsi"/>
          <w:b/>
          <w:bCs/>
        </w:rPr>
        <w:fldChar w:fldCharType="end"/>
      </w:r>
    </w:p>
    <w:bookmarkEnd w:id="0"/>
    <w:p w:rsidR="00F71699" w:rsidRPr="00066F35" w:rsidRDefault="00F71699" w:rsidP="00F71699">
      <w:pPr>
        <w:pStyle w:val="Default"/>
        <w:jc w:val="both"/>
        <w:rPr>
          <w:rFonts w:asciiTheme="minorHAnsi" w:hAnsiTheme="minorHAnsi"/>
          <w:sz w:val="12"/>
          <w:szCs w:val="12"/>
        </w:rPr>
      </w:pPr>
    </w:p>
    <w:p w:rsidR="00495AAE" w:rsidRPr="008E6399" w:rsidRDefault="00495AAE" w:rsidP="008E6399">
      <w:pPr>
        <w:jc w:val="both"/>
        <w:rPr>
          <w:rFonts w:cs="Times New Roman"/>
          <w:sz w:val="24"/>
          <w:szCs w:val="24"/>
        </w:rPr>
      </w:pPr>
      <w:r w:rsidRPr="008E6399">
        <w:rPr>
          <w:rFonts w:cs="Times New Roman"/>
          <w:sz w:val="24"/>
          <w:szCs w:val="24"/>
        </w:rPr>
        <w:t xml:space="preserve">La presente relazione sulla performance è redatta ai sensi dell’art. 10, comma 1, lett. b) del </w:t>
      </w:r>
      <w:proofErr w:type="spellStart"/>
      <w:r w:rsidRPr="008E6399">
        <w:rPr>
          <w:rFonts w:cs="Times New Roman"/>
          <w:sz w:val="24"/>
          <w:szCs w:val="24"/>
        </w:rPr>
        <w:t>D.LGS.</w:t>
      </w:r>
      <w:proofErr w:type="spellEnd"/>
      <w:r w:rsidRPr="008E6399">
        <w:rPr>
          <w:rFonts w:cs="Times New Roman"/>
          <w:sz w:val="24"/>
          <w:szCs w:val="24"/>
        </w:rPr>
        <w:t xml:space="preserve"> 150/2009</w:t>
      </w:r>
      <w:r w:rsidR="00F71699" w:rsidRPr="008E6399">
        <w:rPr>
          <w:rFonts w:cs="Times New Roman"/>
          <w:sz w:val="24"/>
          <w:szCs w:val="24"/>
        </w:rPr>
        <w:t xml:space="preserve">, dell’art. 6, comma 2, lettera b) della </w:t>
      </w:r>
      <w:proofErr w:type="spellStart"/>
      <w:r w:rsidR="00F71699" w:rsidRPr="008E6399">
        <w:rPr>
          <w:rFonts w:cs="Times New Roman"/>
          <w:sz w:val="24"/>
          <w:szCs w:val="24"/>
        </w:rPr>
        <w:t>L.R.</w:t>
      </w:r>
      <w:proofErr w:type="spellEnd"/>
      <w:r w:rsidR="00F71699" w:rsidRPr="008E6399">
        <w:rPr>
          <w:rFonts w:cs="Times New Roman"/>
          <w:sz w:val="24"/>
          <w:szCs w:val="24"/>
        </w:rPr>
        <w:t xml:space="preserve"> 16/2010</w:t>
      </w:r>
      <w:r w:rsidRPr="008E6399">
        <w:rPr>
          <w:rFonts w:cs="Times New Roman"/>
          <w:sz w:val="24"/>
          <w:szCs w:val="24"/>
        </w:rPr>
        <w:t xml:space="preserve"> e sulla base delle indicazioni contenute nella delibera CIVIT (ora </w:t>
      </w:r>
      <w:proofErr w:type="spellStart"/>
      <w:r w:rsidRPr="008E6399">
        <w:rPr>
          <w:rFonts w:cs="Times New Roman"/>
          <w:sz w:val="24"/>
          <w:szCs w:val="24"/>
        </w:rPr>
        <w:t>A.NA.C</w:t>
      </w:r>
      <w:proofErr w:type="spellEnd"/>
      <w:r w:rsidRPr="008E6399">
        <w:rPr>
          <w:rFonts w:cs="Times New Roman"/>
          <w:sz w:val="24"/>
          <w:szCs w:val="24"/>
        </w:rPr>
        <w:t>) n. 5/2012 avente per oggetto “</w:t>
      </w:r>
      <w:r w:rsidR="00F71699" w:rsidRPr="008E6399">
        <w:rPr>
          <w:rFonts w:cs="Times New Roman"/>
          <w:sz w:val="24"/>
          <w:szCs w:val="24"/>
        </w:rPr>
        <w:t xml:space="preserve"> Linee guida ai sensi dell’art. 13, comma 6, lettera b), del D. </w:t>
      </w:r>
      <w:proofErr w:type="spellStart"/>
      <w:r w:rsidR="00F71699" w:rsidRPr="008E6399">
        <w:rPr>
          <w:rFonts w:cs="Times New Roman"/>
          <w:sz w:val="24"/>
          <w:szCs w:val="24"/>
        </w:rPr>
        <w:t>Lgs</w:t>
      </w:r>
      <w:proofErr w:type="spellEnd"/>
      <w:r w:rsidR="00F71699" w:rsidRPr="008E6399">
        <w:rPr>
          <w:rFonts w:cs="Times New Roman"/>
          <w:sz w:val="24"/>
          <w:szCs w:val="24"/>
        </w:rPr>
        <w:t>. n. 150/2009, relative alla struttura e alla modalità di redazione della Relazione sulla performance di cui all’art. 10, comma 1, lettera b), dello stesso decreto</w:t>
      </w:r>
      <w:r w:rsidRPr="008E6399">
        <w:rPr>
          <w:rFonts w:cs="Times New Roman"/>
          <w:sz w:val="24"/>
          <w:szCs w:val="24"/>
        </w:rPr>
        <w:t>”.</w:t>
      </w:r>
    </w:p>
    <w:p w:rsidR="002703D2" w:rsidRPr="008E6399" w:rsidRDefault="00495AAE" w:rsidP="008E6399">
      <w:pPr>
        <w:jc w:val="both"/>
        <w:rPr>
          <w:rFonts w:cs="Times New Roman"/>
          <w:sz w:val="24"/>
          <w:szCs w:val="24"/>
        </w:rPr>
      </w:pPr>
      <w:r w:rsidRPr="008E6399">
        <w:rPr>
          <w:rFonts w:cs="Times New Roman"/>
          <w:sz w:val="24"/>
          <w:szCs w:val="24"/>
        </w:rPr>
        <w:t xml:space="preserve">Il documento evidenzia a consuntivo i risultati </w:t>
      </w:r>
      <w:r w:rsidR="00713D3E" w:rsidRPr="008E6399">
        <w:rPr>
          <w:rFonts w:cs="Times New Roman"/>
          <w:sz w:val="24"/>
          <w:szCs w:val="24"/>
        </w:rPr>
        <w:t xml:space="preserve">di sintesi </w:t>
      </w:r>
      <w:r w:rsidRPr="008E6399">
        <w:rPr>
          <w:rFonts w:cs="Times New Roman"/>
          <w:sz w:val="24"/>
          <w:szCs w:val="24"/>
        </w:rPr>
        <w:t>ottenuti dall’azienda rispetto agli obiettivi programmati e assegnati nell’anno 201</w:t>
      </w:r>
      <w:r w:rsidR="004E5B03">
        <w:rPr>
          <w:rFonts w:cs="Times New Roman"/>
          <w:sz w:val="24"/>
          <w:szCs w:val="24"/>
        </w:rPr>
        <w:t>5</w:t>
      </w:r>
      <w:r w:rsidRPr="008E6399">
        <w:rPr>
          <w:rFonts w:cs="Times New Roman"/>
          <w:sz w:val="24"/>
          <w:szCs w:val="24"/>
        </w:rPr>
        <w:t xml:space="preserve"> e riportati nel programma annuale e nel documento di budget.</w:t>
      </w:r>
      <w:r w:rsidR="00713D3E" w:rsidRPr="008E6399">
        <w:rPr>
          <w:rFonts w:cs="Times New Roman"/>
          <w:sz w:val="24"/>
          <w:szCs w:val="24"/>
        </w:rPr>
        <w:t xml:space="preserve"> Per maggiori dettagli si rinvia ai documenti che compongono il ciclo della performance.</w:t>
      </w:r>
    </w:p>
    <w:p w:rsidR="00495AAE" w:rsidRPr="008E6399" w:rsidRDefault="00495AAE" w:rsidP="008E6399">
      <w:pPr>
        <w:jc w:val="both"/>
        <w:rPr>
          <w:rFonts w:cs="Times New Roman"/>
          <w:sz w:val="24"/>
          <w:szCs w:val="24"/>
        </w:rPr>
      </w:pPr>
      <w:r w:rsidRPr="008E6399">
        <w:rPr>
          <w:rFonts w:cs="Times New Roman"/>
          <w:sz w:val="24"/>
          <w:szCs w:val="24"/>
        </w:rPr>
        <w:t>La Relazione viene sottoposta - per la validazione - all’Organismo Indipendente di Valutazione della Performance ai sensi dell’art. 14, commi 4, lettera c</w:t>
      </w:r>
      <w:r w:rsidR="00AA3C97" w:rsidRPr="008E6399">
        <w:rPr>
          <w:rFonts w:cs="Times New Roman"/>
          <w:sz w:val="24"/>
          <w:szCs w:val="24"/>
        </w:rPr>
        <w:t>,</w:t>
      </w:r>
      <w:r w:rsidRPr="008E6399">
        <w:rPr>
          <w:rFonts w:cs="Times New Roman"/>
          <w:sz w:val="24"/>
          <w:szCs w:val="24"/>
        </w:rPr>
        <w:t xml:space="preserve"> e </w:t>
      </w:r>
      <w:r w:rsidR="00AA3C97" w:rsidRPr="008E6399">
        <w:rPr>
          <w:rFonts w:cs="Times New Roman"/>
          <w:sz w:val="24"/>
          <w:szCs w:val="24"/>
        </w:rPr>
        <w:t xml:space="preserve">dell’art. </w:t>
      </w:r>
      <w:r w:rsidRPr="008E6399">
        <w:rPr>
          <w:rFonts w:cs="Times New Roman"/>
          <w:sz w:val="24"/>
          <w:szCs w:val="24"/>
        </w:rPr>
        <w:t xml:space="preserve">6 del </w:t>
      </w:r>
      <w:proofErr w:type="spellStart"/>
      <w:r w:rsidRPr="008E6399">
        <w:rPr>
          <w:rFonts w:cs="Times New Roman"/>
          <w:sz w:val="24"/>
          <w:szCs w:val="24"/>
        </w:rPr>
        <w:t>D.LGS</w:t>
      </w:r>
      <w:proofErr w:type="spellEnd"/>
      <w:r w:rsidRPr="008E6399">
        <w:rPr>
          <w:rFonts w:cs="Times New Roman"/>
          <w:sz w:val="24"/>
          <w:szCs w:val="24"/>
        </w:rPr>
        <w:t xml:space="preserve"> 150/2009.</w:t>
      </w:r>
    </w:p>
    <w:p w:rsidR="009030D0" w:rsidRPr="009030D0" w:rsidRDefault="009030D0" w:rsidP="002703D2">
      <w:pPr>
        <w:spacing w:line="240" w:lineRule="auto"/>
        <w:rPr>
          <w:b/>
          <w:bCs/>
          <w:sz w:val="8"/>
          <w:szCs w:val="8"/>
        </w:rPr>
      </w:pPr>
    </w:p>
    <w:p w:rsidR="009D317A" w:rsidRPr="00927899" w:rsidRDefault="00927899" w:rsidP="002703D2">
      <w:pPr>
        <w:spacing w:line="240" w:lineRule="auto"/>
        <w:rPr>
          <w:b/>
          <w:bCs/>
          <w:sz w:val="28"/>
          <w:szCs w:val="28"/>
        </w:rPr>
      </w:pPr>
      <w:r>
        <w:rPr>
          <w:b/>
          <w:bCs/>
          <w:sz w:val="28"/>
          <w:szCs w:val="28"/>
        </w:rPr>
        <w:t xml:space="preserve">2 </w:t>
      </w:r>
      <w:r w:rsidR="009D317A" w:rsidRPr="00927899">
        <w:rPr>
          <w:b/>
          <w:bCs/>
          <w:sz w:val="28"/>
          <w:szCs w:val="28"/>
        </w:rPr>
        <w:t>Normativa di riferimento</w:t>
      </w:r>
      <w:r w:rsidR="00E976F7" w:rsidRPr="00927899">
        <w:rPr>
          <w:b/>
          <w:bCs/>
          <w:sz w:val="28"/>
          <w:szCs w:val="28"/>
        </w:rPr>
        <w:fldChar w:fldCharType="begin"/>
      </w:r>
      <w:r w:rsidR="0036369C" w:rsidRPr="00927899">
        <w:rPr>
          <w:sz w:val="28"/>
          <w:szCs w:val="28"/>
        </w:rPr>
        <w:instrText xml:space="preserve"> XE "</w:instrText>
      </w:r>
      <w:r w:rsidR="0036369C" w:rsidRPr="00927899">
        <w:rPr>
          <w:b/>
          <w:sz w:val="28"/>
          <w:szCs w:val="28"/>
        </w:rPr>
        <w:instrText xml:space="preserve">2 </w:instrText>
      </w:r>
      <w:r w:rsidR="0036369C" w:rsidRPr="00927899">
        <w:rPr>
          <w:b/>
          <w:bCs/>
          <w:sz w:val="28"/>
          <w:szCs w:val="28"/>
        </w:rPr>
        <w:instrText>Normativa di riferimento</w:instrText>
      </w:r>
      <w:r w:rsidR="0036369C" w:rsidRPr="00927899">
        <w:rPr>
          <w:sz w:val="28"/>
          <w:szCs w:val="28"/>
        </w:rPr>
        <w:instrText xml:space="preserve">" </w:instrText>
      </w:r>
      <w:r w:rsidR="00E976F7" w:rsidRPr="00927899">
        <w:rPr>
          <w:b/>
          <w:bCs/>
          <w:sz w:val="28"/>
          <w:szCs w:val="28"/>
        </w:rPr>
        <w:fldChar w:fldCharType="end"/>
      </w:r>
    </w:p>
    <w:p w:rsidR="00592938" w:rsidRPr="008E6399" w:rsidRDefault="00937659" w:rsidP="008E6399">
      <w:pPr>
        <w:jc w:val="both"/>
        <w:rPr>
          <w:rFonts w:cs="Times New Roman"/>
          <w:sz w:val="24"/>
          <w:szCs w:val="24"/>
        </w:rPr>
      </w:pPr>
      <w:r w:rsidRPr="008E6399">
        <w:rPr>
          <w:rFonts w:cs="Times New Roman"/>
          <w:sz w:val="24"/>
          <w:szCs w:val="24"/>
        </w:rPr>
        <w:t xml:space="preserve">Il processo di programmazione e controllo delle aziende sanitarie del Friuli Venezia Giulia è disciplinato dalla </w:t>
      </w:r>
      <w:proofErr w:type="spellStart"/>
      <w:r w:rsidRPr="008E6399">
        <w:rPr>
          <w:rFonts w:cs="Times New Roman"/>
          <w:sz w:val="24"/>
          <w:szCs w:val="24"/>
        </w:rPr>
        <w:t>L.R.</w:t>
      </w:r>
      <w:proofErr w:type="spellEnd"/>
      <w:r w:rsidRPr="008E6399">
        <w:rPr>
          <w:rFonts w:cs="Times New Roman"/>
          <w:sz w:val="24"/>
          <w:szCs w:val="24"/>
        </w:rPr>
        <w:t xml:space="preserve"> 49/1996 “Norme in materia di programmazione, contabilità e controllo del Servizio sanitario regionale e disposizioni urgenti per l'integrazione socio-sanitaria</w:t>
      </w:r>
      <w:r w:rsidR="009131A5" w:rsidRPr="008E6399">
        <w:rPr>
          <w:rFonts w:cs="Times New Roman"/>
          <w:sz w:val="24"/>
          <w:szCs w:val="24"/>
        </w:rPr>
        <w:t xml:space="preserve">” </w:t>
      </w:r>
      <w:r w:rsidR="00592938" w:rsidRPr="008E6399">
        <w:rPr>
          <w:rFonts w:cs="Times New Roman"/>
          <w:sz w:val="24"/>
          <w:szCs w:val="24"/>
        </w:rPr>
        <w:t xml:space="preserve">e </w:t>
      </w:r>
      <w:r w:rsidR="00C83251" w:rsidRPr="008E6399">
        <w:rPr>
          <w:rFonts w:cs="Times New Roman"/>
          <w:sz w:val="24"/>
          <w:szCs w:val="24"/>
        </w:rPr>
        <w:t xml:space="preserve">dalla </w:t>
      </w:r>
      <w:proofErr w:type="spellStart"/>
      <w:r w:rsidR="00C83251" w:rsidRPr="008E6399">
        <w:rPr>
          <w:rFonts w:cs="Times New Roman"/>
          <w:sz w:val="24"/>
          <w:szCs w:val="24"/>
        </w:rPr>
        <w:t>L.R.</w:t>
      </w:r>
      <w:proofErr w:type="spellEnd"/>
      <w:r w:rsidR="00C83251" w:rsidRPr="008E6399">
        <w:rPr>
          <w:rFonts w:cs="Times New Roman"/>
          <w:sz w:val="24"/>
          <w:szCs w:val="24"/>
        </w:rPr>
        <w:t xml:space="preserve"> 23/2004</w:t>
      </w:r>
      <w:r w:rsidR="00F71699" w:rsidRPr="008E6399">
        <w:rPr>
          <w:rFonts w:cs="Times New Roman"/>
          <w:sz w:val="24"/>
          <w:szCs w:val="24"/>
        </w:rPr>
        <w:t xml:space="preserve"> “Disposizioni sulla partecipazione degli enti locali ai processi programmatori e di verifica in materia sanitaria, sociale e sociosanitaria e disciplina dei relativi strumenti di programmazione, nonché altre disposizioni urgenti in materia sanitaria e sociale.”</w:t>
      </w:r>
      <w:r w:rsidR="00C83251" w:rsidRPr="008E6399">
        <w:rPr>
          <w:rFonts w:cs="Times New Roman"/>
          <w:sz w:val="24"/>
          <w:szCs w:val="24"/>
        </w:rPr>
        <w:t xml:space="preserve"> ed è articolato nelle seguenti fasi:</w:t>
      </w:r>
    </w:p>
    <w:p w:rsidR="00592938" w:rsidRPr="004A1B0D" w:rsidRDefault="00592938" w:rsidP="005C0A33">
      <w:pPr>
        <w:pStyle w:val="Paragrafoelenco"/>
        <w:numPr>
          <w:ilvl w:val="0"/>
          <w:numId w:val="1"/>
        </w:numPr>
        <w:autoSpaceDE w:val="0"/>
        <w:autoSpaceDN w:val="0"/>
        <w:adjustRightInd w:val="0"/>
        <w:spacing w:after="0" w:line="360" w:lineRule="auto"/>
        <w:ind w:left="714" w:hanging="357"/>
        <w:jc w:val="both"/>
        <w:rPr>
          <w:rFonts w:cs="Times New Roman"/>
          <w:sz w:val="24"/>
          <w:szCs w:val="24"/>
        </w:rPr>
      </w:pPr>
      <w:r w:rsidRPr="004A1B0D">
        <w:rPr>
          <w:rFonts w:cs="Times New Roman"/>
          <w:sz w:val="24"/>
          <w:szCs w:val="24"/>
        </w:rPr>
        <w:t>programmazione triennale</w:t>
      </w:r>
      <w:r w:rsidR="009131A5" w:rsidRPr="004A1B0D">
        <w:rPr>
          <w:rFonts w:cs="Times New Roman"/>
          <w:sz w:val="24"/>
          <w:szCs w:val="24"/>
        </w:rPr>
        <w:t xml:space="preserve"> e annuale</w:t>
      </w:r>
    </w:p>
    <w:p w:rsidR="00062BAB" w:rsidRPr="004A1B0D" w:rsidRDefault="00062BAB" w:rsidP="005C0A33">
      <w:pPr>
        <w:pStyle w:val="Paragrafoelenco"/>
        <w:numPr>
          <w:ilvl w:val="0"/>
          <w:numId w:val="1"/>
        </w:numPr>
        <w:autoSpaceDE w:val="0"/>
        <w:autoSpaceDN w:val="0"/>
        <w:adjustRightInd w:val="0"/>
        <w:spacing w:after="0" w:line="360" w:lineRule="auto"/>
        <w:ind w:left="714" w:hanging="357"/>
        <w:jc w:val="both"/>
        <w:rPr>
          <w:rFonts w:cs="Times New Roman"/>
          <w:sz w:val="24"/>
          <w:szCs w:val="24"/>
        </w:rPr>
      </w:pPr>
      <w:r w:rsidRPr="004A1B0D">
        <w:rPr>
          <w:rFonts w:cs="Times New Roman"/>
          <w:sz w:val="24"/>
          <w:szCs w:val="24"/>
        </w:rPr>
        <w:t>c</w:t>
      </w:r>
      <w:r w:rsidR="00396658" w:rsidRPr="004A1B0D">
        <w:rPr>
          <w:rFonts w:cs="Times New Roman"/>
          <w:sz w:val="24"/>
          <w:szCs w:val="24"/>
        </w:rPr>
        <w:t>ontrollo trimestrale ed annuale</w:t>
      </w:r>
    </w:p>
    <w:p w:rsidR="00592938" w:rsidRPr="004A1B0D" w:rsidRDefault="00592938" w:rsidP="005C0A33">
      <w:pPr>
        <w:pStyle w:val="Paragrafoelenco"/>
        <w:numPr>
          <w:ilvl w:val="0"/>
          <w:numId w:val="1"/>
        </w:numPr>
        <w:autoSpaceDE w:val="0"/>
        <w:autoSpaceDN w:val="0"/>
        <w:adjustRightInd w:val="0"/>
        <w:spacing w:after="0" w:line="360" w:lineRule="auto"/>
        <w:ind w:left="714" w:hanging="357"/>
        <w:jc w:val="both"/>
        <w:rPr>
          <w:rFonts w:cs="Times New Roman"/>
          <w:sz w:val="24"/>
          <w:szCs w:val="24"/>
        </w:rPr>
      </w:pPr>
      <w:r w:rsidRPr="004A1B0D">
        <w:rPr>
          <w:rFonts w:cs="Times New Roman"/>
          <w:sz w:val="24"/>
          <w:szCs w:val="24"/>
        </w:rPr>
        <w:t>gestione per budget</w:t>
      </w:r>
      <w:r w:rsidR="002703D2" w:rsidRPr="004A1B0D">
        <w:rPr>
          <w:rFonts w:cs="Times New Roman"/>
          <w:sz w:val="24"/>
          <w:szCs w:val="24"/>
        </w:rPr>
        <w:t>.</w:t>
      </w:r>
    </w:p>
    <w:p w:rsidR="00066F35" w:rsidRDefault="00066F35">
      <w:pPr>
        <w:rPr>
          <w:sz w:val="24"/>
          <w:szCs w:val="24"/>
        </w:rPr>
      </w:pPr>
      <w:r>
        <w:rPr>
          <w:sz w:val="24"/>
          <w:szCs w:val="24"/>
        </w:rPr>
        <w:br w:type="page"/>
      </w:r>
    </w:p>
    <w:p w:rsidR="00062BAB" w:rsidRDefault="00927899" w:rsidP="00316D74">
      <w:pPr>
        <w:pStyle w:val="Paragrafoelenco"/>
        <w:autoSpaceDE w:val="0"/>
        <w:autoSpaceDN w:val="0"/>
        <w:adjustRightInd w:val="0"/>
        <w:spacing w:after="0" w:line="240" w:lineRule="auto"/>
        <w:ind w:left="0"/>
        <w:rPr>
          <w:b/>
          <w:sz w:val="28"/>
          <w:szCs w:val="28"/>
        </w:rPr>
      </w:pPr>
      <w:r>
        <w:rPr>
          <w:b/>
          <w:sz w:val="28"/>
          <w:szCs w:val="28"/>
        </w:rPr>
        <w:lastRenderedPageBreak/>
        <w:t xml:space="preserve">3 </w:t>
      </w:r>
      <w:r w:rsidR="00062BAB" w:rsidRPr="00927899">
        <w:rPr>
          <w:b/>
          <w:sz w:val="28"/>
          <w:szCs w:val="28"/>
        </w:rPr>
        <w:t>Programmazione triennale</w:t>
      </w:r>
      <w:r w:rsidR="00992E66" w:rsidRPr="00927899">
        <w:rPr>
          <w:b/>
          <w:sz w:val="28"/>
          <w:szCs w:val="28"/>
        </w:rPr>
        <w:t xml:space="preserve"> e annuale</w:t>
      </w:r>
      <w:r w:rsidR="00E976F7" w:rsidRPr="00927899">
        <w:rPr>
          <w:b/>
          <w:sz w:val="28"/>
          <w:szCs w:val="28"/>
        </w:rPr>
        <w:fldChar w:fldCharType="begin"/>
      </w:r>
      <w:r w:rsidR="0036369C" w:rsidRPr="00927899">
        <w:rPr>
          <w:sz w:val="28"/>
          <w:szCs w:val="28"/>
        </w:rPr>
        <w:instrText xml:space="preserve"> XE "</w:instrText>
      </w:r>
      <w:r w:rsidR="0036369C" w:rsidRPr="00927899">
        <w:rPr>
          <w:b/>
          <w:sz w:val="28"/>
          <w:szCs w:val="28"/>
        </w:rPr>
        <w:instrText>3 Programmazione triennale e annuale</w:instrText>
      </w:r>
      <w:r w:rsidR="0036369C" w:rsidRPr="00927899">
        <w:rPr>
          <w:sz w:val="28"/>
          <w:szCs w:val="28"/>
        </w:rPr>
        <w:instrText xml:space="preserve">" </w:instrText>
      </w:r>
      <w:r w:rsidR="00E976F7" w:rsidRPr="00927899">
        <w:rPr>
          <w:b/>
          <w:sz w:val="28"/>
          <w:szCs w:val="28"/>
        </w:rPr>
        <w:fldChar w:fldCharType="end"/>
      </w:r>
    </w:p>
    <w:p w:rsidR="003F0127" w:rsidRDefault="003F0127" w:rsidP="00316D74">
      <w:pPr>
        <w:pStyle w:val="Paragrafoelenco"/>
        <w:autoSpaceDE w:val="0"/>
        <w:autoSpaceDN w:val="0"/>
        <w:adjustRightInd w:val="0"/>
        <w:spacing w:after="0" w:line="240" w:lineRule="auto"/>
        <w:ind w:left="0"/>
        <w:rPr>
          <w:b/>
          <w:sz w:val="28"/>
          <w:szCs w:val="28"/>
        </w:rPr>
      </w:pPr>
    </w:p>
    <w:p w:rsidR="00062BAB" w:rsidRPr="002703D2" w:rsidRDefault="00062BAB" w:rsidP="00062BAB">
      <w:pPr>
        <w:pStyle w:val="Paragrafoelenco"/>
        <w:autoSpaceDE w:val="0"/>
        <w:autoSpaceDN w:val="0"/>
        <w:adjustRightInd w:val="0"/>
        <w:spacing w:after="0" w:line="240" w:lineRule="auto"/>
        <w:rPr>
          <w:sz w:val="16"/>
          <w:szCs w:val="16"/>
        </w:rPr>
      </w:pPr>
    </w:p>
    <w:p w:rsidR="00C83251" w:rsidRDefault="00C83251" w:rsidP="00A34A2D">
      <w:pPr>
        <w:autoSpaceDE w:val="0"/>
        <w:autoSpaceDN w:val="0"/>
        <w:adjustRightInd w:val="0"/>
        <w:spacing w:after="0" w:line="240" w:lineRule="auto"/>
        <w:jc w:val="both"/>
        <w:rPr>
          <w:rFonts w:cs="DecimaWE"/>
          <w:color w:val="000000"/>
          <w:sz w:val="24"/>
          <w:szCs w:val="24"/>
        </w:rPr>
      </w:pPr>
      <w:r w:rsidRPr="009951C8">
        <w:rPr>
          <w:rFonts w:cs="DecimaWE"/>
          <w:color w:val="000000"/>
          <w:sz w:val="24"/>
          <w:szCs w:val="24"/>
        </w:rPr>
        <w:t xml:space="preserve">La </w:t>
      </w:r>
      <w:r w:rsidR="009131A5">
        <w:rPr>
          <w:rFonts w:cs="DecimaWE"/>
          <w:color w:val="000000"/>
          <w:sz w:val="24"/>
          <w:szCs w:val="24"/>
        </w:rPr>
        <w:t>programmazione del 201</w:t>
      </w:r>
      <w:r w:rsidR="004A372D">
        <w:rPr>
          <w:rFonts w:cs="DecimaWE"/>
          <w:color w:val="000000"/>
          <w:sz w:val="24"/>
          <w:szCs w:val="24"/>
        </w:rPr>
        <w:t>5</w:t>
      </w:r>
      <w:r w:rsidR="009131A5">
        <w:rPr>
          <w:rFonts w:cs="DecimaWE"/>
          <w:color w:val="000000"/>
          <w:sz w:val="24"/>
          <w:szCs w:val="24"/>
        </w:rPr>
        <w:t xml:space="preserve"> si è inserita in un contesto economico e normativo condizionato</w:t>
      </w:r>
      <w:r w:rsidRPr="009951C8">
        <w:rPr>
          <w:rFonts w:cs="DecimaWE"/>
          <w:color w:val="000000"/>
          <w:sz w:val="24"/>
          <w:szCs w:val="24"/>
        </w:rPr>
        <w:t xml:space="preserve">: </w:t>
      </w:r>
    </w:p>
    <w:p w:rsidR="00CD4DA9" w:rsidRDefault="00466DBF" w:rsidP="00A34A2D">
      <w:pPr>
        <w:numPr>
          <w:ilvl w:val="0"/>
          <w:numId w:val="6"/>
        </w:numPr>
        <w:tabs>
          <w:tab w:val="clear" w:pos="1440"/>
          <w:tab w:val="num" w:pos="567"/>
        </w:tabs>
        <w:spacing w:after="0" w:line="240" w:lineRule="auto"/>
        <w:ind w:left="567" w:hanging="567"/>
        <w:jc w:val="both"/>
        <w:rPr>
          <w:sz w:val="24"/>
          <w:szCs w:val="24"/>
        </w:rPr>
      </w:pPr>
      <w:r>
        <w:rPr>
          <w:sz w:val="24"/>
          <w:szCs w:val="24"/>
        </w:rPr>
        <w:t>dall’</w:t>
      </w:r>
      <w:r w:rsidR="00CD4DA9">
        <w:rPr>
          <w:sz w:val="24"/>
          <w:szCs w:val="24"/>
        </w:rPr>
        <w:t>avvio dei nuovi enti del SSR</w:t>
      </w:r>
    </w:p>
    <w:p w:rsidR="00773594" w:rsidRPr="00466DBF" w:rsidRDefault="00466DBF" w:rsidP="00466DBF">
      <w:pPr>
        <w:numPr>
          <w:ilvl w:val="0"/>
          <w:numId w:val="6"/>
        </w:numPr>
        <w:tabs>
          <w:tab w:val="clear" w:pos="1440"/>
          <w:tab w:val="num" w:pos="567"/>
        </w:tabs>
        <w:spacing w:after="0" w:line="240" w:lineRule="auto"/>
        <w:ind w:left="567" w:hanging="567"/>
        <w:jc w:val="both"/>
        <w:rPr>
          <w:sz w:val="24"/>
          <w:szCs w:val="24"/>
        </w:rPr>
      </w:pPr>
      <w:r>
        <w:rPr>
          <w:sz w:val="24"/>
          <w:szCs w:val="24"/>
        </w:rPr>
        <w:t xml:space="preserve">dalla </w:t>
      </w:r>
      <w:r w:rsidR="00CD4DA9">
        <w:rPr>
          <w:sz w:val="24"/>
          <w:szCs w:val="24"/>
        </w:rPr>
        <w:t>stabilizzazione del finanziamento complessivo a quello dell’anno 2014, con necessità di contenere e riqualificare ulteriormente</w:t>
      </w:r>
      <w:r w:rsidR="00773594">
        <w:rPr>
          <w:sz w:val="24"/>
          <w:szCs w:val="24"/>
        </w:rPr>
        <w:t xml:space="preserve"> la </w:t>
      </w:r>
      <w:r w:rsidR="00CD4DA9">
        <w:rPr>
          <w:sz w:val="24"/>
          <w:szCs w:val="24"/>
        </w:rPr>
        <w:t>s</w:t>
      </w:r>
      <w:r w:rsidR="00773594">
        <w:rPr>
          <w:sz w:val="24"/>
          <w:szCs w:val="24"/>
        </w:rPr>
        <w:t>p</w:t>
      </w:r>
      <w:r w:rsidR="00CD4DA9">
        <w:rPr>
          <w:sz w:val="24"/>
          <w:szCs w:val="24"/>
        </w:rPr>
        <w:t>esa corrente per riavviare gli investimenti per l’innovazione e le tecnologie</w:t>
      </w:r>
      <w:r w:rsidR="00773594" w:rsidRPr="00466DBF">
        <w:rPr>
          <w:sz w:val="24"/>
          <w:szCs w:val="24"/>
        </w:rPr>
        <w:t>;</w:t>
      </w:r>
    </w:p>
    <w:p w:rsidR="00CD4DA9" w:rsidRDefault="00466DBF" w:rsidP="00A34A2D">
      <w:pPr>
        <w:numPr>
          <w:ilvl w:val="0"/>
          <w:numId w:val="6"/>
        </w:numPr>
        <w:tabs>
          <w:tab w:val="clear" w:pos="1440"/>
          <w:tab w:val="num" w:pos="567"/>
        </w:tabs>
        <w:spacing w:after="0" w:line="240" w:lineRule="auto"/>
        <w:ind w:left="567" w:hanging="567"/>
        <w:jc w:val="both"/>
        <w:rPr>
          <w:sz w:val="24"/>
          <w:szCs w:val="24"/>
        </w:rPr>
      </w:pPr>
      <w:r>
        <w:rPr>
          <w:sz w:val="24"/>
          <w:szCs w:val="24"/>
        </w:rPr>
        <w:t xml:space="preserve">dalla </w:t>
      </w:r>
      <w:r w:rsidR="00CD4DA9">
        <w:rPr>
          <w:sz w:val="24"/>
          <w:szCs w:val="24"/>
        </w:rPr>
        <w:t>permanenza delle seguenti norme nazionali vincolanti per la Regione e le Aziende:</w:t>
      </w:r>
    </w:p>
    <w:p w:rsidR="00773594" w:rsidRDefault="00CD4DA9" w:rsidP="008A29F1">
      <w:pPr>
        <w:numPr>
          <w:ilvl w:val="0"/>
          <w:numId w:val="11"/>
        </w:numPr>
        <w:spacing w:after="0" w:line="240" w:lineRule="auto"/>
        <w:jc w:val="both"/>
        <w:rPr>
          <w:sz w:val="24"/>
          <w:szCs w:val="24"/>
        </w:rPr>
      </w:pPr>
      <w:r>
        <w:rPr>
          <w:sz w:val="24"/>
          <w:szCs w:val="24"/>
        </w:rPr>
        <w:t>D</w:t>
      </w:r>
      <w:r w:rsidR="00773594">
        <w:rPr>
          <w:sz w:val="24"/>
          <w:szCs w:val="24"/>
        </w:rPr>
        <w:t>.</w:t>
      </w:r>
      <w:r>
        <w:rPr>
          <w:sz w:val="24"/>
          <w:szCs w:val="24"/>
        </w:rPr>
        <w:t>L</w:t>
      </w:r>
      <w:r w:rsidR="00B971F4" w:rsidRPr="0089318B">
        <w:rPr>
          <w:sz w:val="24"/>
          <w:szCs w:val="24"/>
        </w:rPr>
        <w:t>. 6.07.2012 n.95 convertito con Legge n.135 del 7.08.2012 “</w:t>
      </w:r>
      <w:proofErr w:type="spellStart"/>
      <w:r w:rsidR="00B971F4" w:rsidRPr="0089318B">
        <w:rPr>
          <w:sz w:val="24"/>
          <w:szCs w:val="24"/>
        </w:rPr>
        <w:t>Spending</w:t>
      </w:r>
      <w:proofErr w:type="spellEnd"/>
      <w:r w:rsidR="00B971F4" w:rsidRPr="0089318B">
        <w:rPr>
          <w:sz w:val="24"/>
          <w:szCs w:val="24"/>
        </w:rPr>
        <w:t xml:space="preserve"> </w:t>
      </w:r>
      <w:proofErr w:type="spellStart"/>
      <w:r w:rsidR="00B971F4" w:rsidRPr="0089318B">
        <w:rPr>
          <w:sz w:val="24"/>
          <w:szCs w:val="24"/>
        </w:rPr>
        <w:t>review</w:t>
      </w:r>
      <w:proofErr w:type="spellEnd"/>
      <w:r w:rsidR="00B971F4" w:rsidRPr="0089318B">
        <w:rPr>
          <w:sz w:val="24"/>
          <w:szCs w:val="24"/>
        </w:rPr>
        <w:t xml:space="preserve">”, </w:t>
      </w:r>
    </w:p>
    <w:p w:rsidR="00773594" w:rsidRDefault="00B971F4" w:rsidP="008A29F1">
      <w:pPr>
        <w:numPr>
          <w:ilvl w:val="0"/>
          <w:numId w:val="11"/>
        </w:numPr>
        <w:spacing w:after="0" w:line="240" w:lineRule="auto"/>
        <w:jc w:val="both"/>
        <w:rPr>
          <w:sz w:val="24"/>
          <w:szCs w:val="24"/>
        </w:rPr>
      </w:pPr>
      <w:r w:rsidRPr="0089318B">
        <w:rPr>
          <w:sz w:val="24"/>
          <w:szCs w:val="24"/>
        </w:rPr>
        <w:t xml:space="preserve">D.L. 13.9.2012 n.158 “Decreto </w:t>
      </w:r>
      <w:proofErr w:type="spellStart"/>
      <w:r w:rsidRPr="0089318B">
        <w:rPr>
          <w:sz w:val="24"/>
          <w:szCs w:val="24"/>
        </w:rPr>
        <w:t>Balduzzi</w:t>
      </w:r>
      <w:proofErr w:type="spellEnd"/>
      <w:r w:rsidRPr="0089318B">
        <w:rPr>
          <w:sz w:val="24"/>
          <w:szCs w:val="24"/>
        </w:rPr>
        <w:t xml:space="preserve">”, convertito con L. n.189 del 8.11.2012, </w:t>
      </w:r>
    </w:p>
    <w:p w:rsidR="0089318B" w:rsidRDefault="00B971F4" w:rsidP="008A29F1">
      <w:pPr>
        <w:numPr>
          <w:ilvl w:val="0"/>
          <w:numId w:val="11"/>
        </w:numPr>
        <w:spacing w:after="0" w:line="240" w:lineRule="auto"/>
        <w:jc w:val="both"/>
        <w:rPr>
          <w:sz w:val="24"/>
          <w:szCs w:val="24"/>
        </w:rPr>
      </w:pPr>
      <w:r w:rsidRPr="0089318B">
        <w:rPr>
          <w:sz w:val="24"/>
          <w:szCs w:val="24"/>
        </w:rPr>
        <w:t>D.L. 18.10.2012 n. 179 “Ulteriori misure urgenti per la crescita del Paese”</w:t>
      </w:r>
      <w:r w:rsidR="0089318B">
        <w:rPr>
          <w:sz w:val="24"/>
          <w:szCs w:val="24"/>
        </w:rPr>
        <w:t>;</w:t>
      </w:r>
    </w:p>
    <w:p w:rsidR="00773594" w:rsidRDefault="00466DBF" w:rsidP="00A34A2D">
      <w:pPr>
        <w:numPr>
          <w:ilvl w:val="0"/>
          <w:numId w:val="6"/>
        </w:numPr>
        <w:tabs>
          <w:tab w:val="clear" w:pos="1440"/>
          <w:tab w:val="num" w:pos="567"/>
        </w:tabs>
        <w:spacing w:after="0" w:line="240" w:lineRule="auto"/>
        <w:ind w:left="567" w:hanging="567"/>
        <w:jc w:val="both"/>
        <w:rPr>
          <w:sz w:val="24"/>
          <w:szCs w:val="24"/>
        </w:rPr>
      </w:pPr>
      <w:r>
        <w:rPr>
          <w:sz w:val="24"/>
          <w:szCs w:val="24"/>
        </w:rPr>
        <w:t>dalla m</w:t>
      </w:r>
      <w:r w:rsidR="00773594">
        <w:rPr>
          <w:sz w:val="24"/>
          <w:szCs w:val="24"/>
        </w:rPr>
        <w:t>odifica della geografia dei servizi tramite:</w:t>
      </w:r>
    </w:p>
    <w:p w:rsidR="00773594" w:rsidRDefault="00773594" w:rsidP="008A29F1">
      <w:pPr>
        <w:numPr>
          <w:ilvl w:val="0"/>
          <w:numId w:val="12"/>
        </w:numPr>
        <w:spacing w:after="0" w:line="240" w:lineRule="auto"/>
        <w:jc w:val="both"/>
        <w:rPr>
          <w:sz w:val="24"/>
          <w:szCs w:val="24"/>
        </w:rPr>
      </w:pPr>
      <w:r>
        <w:rPr>
          <w:sz w:val="24"/>
          <w:szCs w:val="24"/>
        </w:rPr>
        <w:t xml:space="preserve">rinforzo dell’assistenza primaria, in particolare per consolidare </w:t>
      </w:r>
      <w:proofErr w:type="spellStart"/>
      <w:r>
        <w:rPr>
          <w:sz w:val="24"/>
          <w:szCs w:val="24"/>
        </w:rPr>
        <w:t>setting</w:t>
      </w:r>
      <w:proofErr w:type="spellEnd"/>
      <w:r>
        <w:rPr>
          <w:sz w:val="24"/>
          <w:szCs w:val="24"/>
        </w:rPr>
        <w:t xml:space="preserve"> assistenziali che privilegino l’assistenza fuori dell’ospedale;</w:t>
      </w:r>
    </w:p>
    <w:p w:rsidR="00773594" w:rsidRDefault="006E5985" w:rsidP="008A29F1">
      <w:pPr>
        <w:numPr>
          <w:ilvl w:val="0"/>
          <w:numId w:val="12"/>
        </w:numPr>
        <w:spacing w:after="0" w:line="240" w:lineRule="auto"/>
        <w:jc w:val="both"/>
        <w:rPr>
          <w:sz w:val="24"/>
          <w:szCs w:val="24"/>
        </w:rPr>
      </w:pPr>
      <w:r>
        <w:rPr>
          <w:sz w:val="24"/>
          <w:szCs w:val="24"/>
        </w:rPr>
        <w:t>a</w:t>
      </w:r>
      <w:r w:rsidR="00773594">
        <w:rPr>
          <w:sz w:val="24"/>
          <w:szCs w:val="24"/>
        </w:rPr>
        <w:t>vvio graduale della riduzione dei posti letto per acuti al 3,0 per 1.000 abitanti e dell’aumento dei posti letto ospedalieri di riabilitazione allo 0,3 per 1.000 abitanti, tenendo conto della DGR n. 2673 del 30 dicembre 2014 che ha definito gli standard e le funzioni dell’assistenza primaria e dell’assistenza ospedaliera, che individ</w:t>
      </w:r>
      <w:r w:rsidR="00137948">
        <w:rPr>
          <w:sz w:val="24"/>
          <w:szCs w:val="24"/>
        </w:rPr>
        <w:t>ua le dotazioni massime di posti letto per presidio ospedaliero di ciascuna azienda sanitaria;</w:t>
      </w:r>
    </w:p>
    <w:p w:rsidR="006E5985" w:rsidRDefault="00B971F4" w:rsidP="00A34A2D">
      <w:pPr>
        <w:numPr>
          <w:ilvl w:val="0"/>
          <w:numId w:val="6"/>
        </w:numPr>
        <w:tabs>
          <w:tab w:val="clear" w:pos="1440"/>
          <w:tab w:val="num" w:pos="567"/>
        </w:tabs>
        <w:spacing w:after="0" w:line="240" w:lineRule="auto"/>
        <w:ind w:left="567" w:hanging="567"/>
        <w:jc w:val="both"/>
        <w:rPr>
          <w:sz w:val="24"/>
          <w:szCs w:val="24"/>
        </w:rPr>
      </w:pPr>
      <w:r w:rsidRPr="0089318B">
        <w:rPr>
          <w:sz w:val="24"/>
          <w:szCs w:val="24"/>
        </w:rPr>
        <w:t xml:space="preserve">dalla scadenza del Piano Sociosanitario Regionale </w:t>
      </w:r>
      <w:r w:rsidR="00D2173B">
        <w:rPr>
          <w:sz w:val="24"/>
          <w:szCs w:val="24"/>
        </w:rPr>
        <w:t>e del Piano della Prevenzione</w:t>
      </w:r>
      <w:r w:rsidR="00137948">
        <w:rPr>
          <w:sz w:val="24"/>
          <w:szCs w:val="24"/>
        </w:rPr>
        <w:t>;</w:t>
      </w:r>
    </w:p>
    <w:p w:rsidR="006E5985" w:rsidRDefault="006E5985" w:rsidP="00A34A2D">
      <w:pPr>
        <w:numPr>
          <w:ilvl w:val="0"/>
          <w:numId w:val="6"/>
        </w:numPr>
        <w:tabs>
          <w:tab w:val="clear" w:pos="1440"/>
          <w:tab w:val="num" w:pos="567"/>
        </w:tabs>
        <w:spacing w:after="0" w:line="240" w:lineRule="auto"/>
        <w:ind w:left="567" w:hanging="567"/>
        <w:jc w:val="both"/>
        <w:rPr>
          <w:sz w:val="24"/>
          <w:szCs w:val="24"/>
        </w:rPr>
      </w:pPr>
      <w:r>
        <w:rPr>
          <w:sz w:val="24"/>
          <w:szCs w:val="24"/>
        </w:rPr>
        <w:t>dalla prosecuzione del percorso intrapreso nell’anno precedente di revisione delle modalità di assegnazione alle aziende del finanziamento del SSR che prevede il superamento dell’attuale metodo di attribuzione per area vasta</w:t>
      </w:r>
      <w:r w:rsidRPr="0089318B">
        <w:rPr>
          <w:sz w:val="24"/>
          <w:szCs w:val="24"/>
        </w:rPr>
        <w:t xml:space="preserve"> </w:t>
      </w:r>
      <w:r>
        <w:rPr>
          <w:sz w:val="24"/>
          <w:szCs w:val="24"/>
        </w:rPr>
        <w:t xml:space="preserve">e </w:t>
      </w:r>
      <w:r w:rsidR="00B971F4" w:rsidRPr="0089318B">
        <w:rPr>
          <w:sz w:val="24"/>
          <w:szCs w:val="24"/>
        </w:rPr>
        <w:t xml:space="preserve">l’applicazione di un nuovo </w:t>
      </w:r>
      <w:r>
        <w:rPr>
          <w:sz w:val="24"/>
          <w:szCs w:val="24"/>
        </w:rPr>
        <w:t>sistema</w:t>
      </w:r>
      <w:r w:rsidR="00B971F4" w:rsidRPr="0089318B">
        <w:rPr>
          <w:sz w:val="24"/>
          <w:szCs w:val="24"/>
        </w:rPr>
        <w:t xml:space="preserve"> impostato su criteri standard su base di popolazione pesata</w:t>
      </w:r>
      <w:r>
        <w:rPr>
          <w:sz w:val="24"/>
          <w:szCs w:val="24"/>
        </w:rPr>
        <w:t xml:space="preserve"> e su standard di riferimento individuati attraverso le migliori performance fra le aziende oppure tramite riferimenti nazionali</w:t>
      </w:r>
      <w:r w:rsidR="00137948">
        <w:rPr>
          <w:sz w:val="24"/>
          <w:szCs w:val="24"/>
        </w:rPr>
        <w:t>;</w:t>
      </w:r>
    </w:p>
    <w:p w:rsidR="00B971F4" w:rsidRPr="0089318B" w:rsidRDefault="00466DBF" w:rsidP="00A34A2D">
      <w:pPr>
        <w:numPr>
          <w:ilvl w:val="0"/>
          <w:numId w:val="6"/>
        </w:numPr>
        <w:tabs>
          <w:tab w:val="clear" w:pos="1440"/>
          <w:tab w:val="num" w:pos="567"/>
        </w:tabs>
        <w:spacing w:after="0" w:line="240" w:lineRule="auto"/>
        <w:ind w:left="567" w:hanging="567"/>
        <w:jc w:val="both"/>
        <w:rPr>
          <w:sz w:val="24"/>
          <w:szCs w:val="24"/>
        </w:rPr>
      </w:pPr>
      <w:r>
        <w:rPr>
          <w:sz w:val="24"/>
          <w:szCs w:val="24"/>
        </w:rPr>
        <w:t>dal</w:t>
      </w:r>
      <w:r w:rsidR="00B971F4" w:rsidRPr="0089318B">
        <w:rPr>
          <w:sz w:val="24"/>
          <w:szCs w:val="24"/>
        </w:rPr>
        <w:t xml:space="preserve">la previsione di misure complessive volte a favorire il contenimento dei costi quali: </w:t>
      </w:r>
    </w:p>
    <w:p w:rsidR="00B971F4" w:rsidRPr="0089318B" w:rsidRDefault="00B971F4" w:rsidP="00A34A2D">
      <w:pPr>
        <w:numPr>
          <w:ilvl w:val="0"/>
          <w:numId w:val="5"/>
        </w:numPr>
        <w:spacing w:after="0" w:line="240" w:lineRule="auto"/>
        <w:ind w:left="993" w:hanging="284"/>
        <w:jc w:val="both"/>
        <w:rPr>
          <w:sz w:val="24"/>
          <w:szCs w:val="24"/>
        </w:rPr>
      </w:pPr>
      <w:r w:rsidRPr="0089318B">
        <w:rPr>
          <w:sz w:val="24"/>
          <w:szCs w:val="24"/>
        </w:rPr>
        <w:t xml:space="preserve">riduzione della farmaceutica ospedaliera del </w:t>
      </w:r>
      <w:r w:rsidR="0044651D">
        <w:rPr>
          <w:sz w:val="24"/>
          <w:szCs w:val="24"/>
        </w:rPr>
        <w:t>2</w:t>
      </w:r>
      <w:r w:rsidRPr="0089318B">
        <w:rPr>
          <w:sz w:val="24"/>
          <w:szCs w:val="24"/>
        </w:rPr>
        <w:t>% rispetto al 201</w:t>
      </w:r>
      <w:r w:rsidR="0044651D">
        <w:rPr>
          <w:sz w:val="24"/>
          <w:szCs w:val="24"/>
        </w:rPr>
        <w:t>4 per le aziende non in linea con gli standard NISAN</w:t>
      </w:r>
      <w:r w:rsidR="00137948">
        <w:rPr>
          <w:sz w:val="24"/>
          <w:szCs w:val="24"/>
        </w:rPr>
        <w:t>;</w:t>
      </w:r>
    </w:p>
    <w:p w:rsidR="0044651D" w:rsidRDefault="0044651D" w:rsidP="00A34A2D">
      <w:pPr>
        <w:numPr>
          <w:ilvl w:val="0"/>
          <w:numId w:val="5"/>
        </w:numPr>
        <w:spacing w:after="0" w:line="240" w:lineRule="auto"/>
        <w:ind w:left="993" w:hanging="284"/>
        <w:jc w:val="both"/>
        <w:rPr>
          <w:sz w:val="24"/>
          <w:szCs w:val="24"/>
        </w:rPr>
      </w:pPr>
      <w:r>
        <w:rPr>
          <w:sz w:val="24"/>
          <w:szCs w:val="24"/>
        </w:rPr>
        <w:t>riduzione della speda di dispositivi medici del 3% rispetto al costo 2014 per le aziende non in linea con gli standard NISAN</w:t>
      </w:r>
      <w:r w:rsidR="00137948">
        <w:rPr>
          <w:sz w:val="24"/>
          <w:szCs w:val="24"/>
        </w:rPr>
        <w:t>;</w:t>
      </w:r>
    </w:p>
    <w:p w:rsidR="00B971F4" w:rsidRPr="0089318B" w:rsidRDefault="00B971F4" w:rsidP="00A34A2D">
      <w:pPr>
        <w:numPr>
          <w:ilvl w:val="0"/>
          <w:numId w:val="5"/>
        </w:numPr>
        <w:spacing w:after="0" w:line="240" w:lineRule="auto"/>
        <w:ind w:left="993" w:hanging="284"/>
        <w:jc w:val="both"/>
        <w:rPr>
          <w:sz w:val="24"/>
          <w:szCs w:val="24"/>
        </w:rPr>
      </w:pPr>
      <w:r w:rsidRPr="0089318B">
        <w:rPr>
          <w:sz w:val="24"/>
          <w:szCs w:val="24"/>
        </w:rPr>
        <w:t>numero di prestazioni ambulatoriali per abitante sulla popolazione pesata non superiore a 4, con esclusione della branca di laboratorio;</w:t>
      </w:r>
    </w:p>
    <w:p w:rsidR="00B971F4" w:rsidRPr="0089318B" w:rsidRDefault="00B971F4" w:rsidP="00A34A2D">
      <w:pPr>
        <w:numPr>
          <w:ilvl w:val="0"/>
          <w:numId w:val="5"/>
        </w:numPr>
        <w:spacing w:after="0" w:line="240" w:lineRule="auto"/>
        <w:ind w:left="993" w:hanging="284"/>
        <w:jc w:val="both"/>
        <w:rPr>
          <w:sz w:val="24"/>
          <w:szCs w:val="24"/>
        </w:rPr>
      </w:pPr>
      <w:r w:rsidRPr="0089318B">
        <w:rPr>
          <w:sz w:val="24"/>
          <w:szCs w:val="24"/>
        </w:rPr>
        <w:t xml:space="preserve">tasso di ospedalizzazione di </w:t>
      </w:r>
      <w:r w:rsidR="0044651D">
        <w:rPr>
          <w:sz w:val="24"/>
          <w:szCs w:val="24"/>
        </w:rPr>
        <w:t>ogni azienda</w:t>
      </w:r>
      <w:r w:rsidRPr="0089318B">
        <w:rPr>
          <w:sz w:val="24"/>
          <w:szCs w:val="24"/>
        </w:rPr>
        <w:t xml:space="preserve"> non superiore a 140 per mille;</w:t>
      </w:r>
    </w:p>
    <w:p w:rsidR="00B971F4" w:rsidRPr="0089318B" w:rsidRDefault="00B971F4" w:rsidP="00A34A2D">
      <w:pPr>
        <w:numPr>
          <w:ilvl w:val="0"/>
          <w:numId w:val="5"/>
        </w:numPr>
        <w:spacing w:after="0" w:line="240" w:lineRule="auto"/>
        <w:ind w:left="993" w:hanging="284"/>
        <w:jc w:val="both"/>
        <w:rPr>
          <w:sz w:val="24"/>
          <w:szCs w:val="24"/>
        </w:rPr>
      </w:pPr>
      <w:r w:rsidRPr="0089318B">
        <w:rPr>
          <w:sz w:val="24"/>
          <w:szCs w:val="24"/>
        </w:rPr>
        <w:t>costo del personale non superiore al consuntivo 2012 abbattuto dell’1% limitatamente alle competenze fisse non ricadenti nei fondi contrattuali di ciascun ruolo;</w:t>
      </w:r>
    </w:p>
    <w:p w:rsidR="00B971F4" w:rsidRPr="0089318B" w:rsidRDefault="00B971F4" w:rsidP="00A34A2D">
      <w:pPr>
        <w:numPr>
          <w:ilvl w:val="0"/>
          <w:numId w:val="5"/>
        </w:numPr>
        <w:spacing w:after="0" w:line="240" w:lineRule="auto"/>
        <w:ind w:left="993" w:hanging="284"/>
        <w:jc w:val="both"/>
        <w:rPr>
          <w:sz w:val="24"/>
          <w:szCs w:val="24"/>
        </w:rPr>
      </w:pPr>
      <w:r w:rsidRPr="0089318B">
        <w:rPr>
          <w:sz w:val="24"/>
          <w:szCs w:val="24"/>
        </w:rPr>
        <w:t>riduzione del ricorso all’Istituto delle prestazioni aggiuntive, ai sensi della L.</w:t>
      </w:r>
      <w:r w:rsidR="00F34829">
        <w:rPr>
          <w:sz w:val="24"/>
          <w:szCs w:val="24"/>
        </w:rPr>
        <w:t xml:space="preserve"> </w:t>
      </w:r>
      <w:r w:rsidRPr="0089318B">
        <w:rPr>
          <w:sz w:val="24"/>
          <w:szCs w:val="24"/>
        </w:rPr>
        <w:t>n.1/2002, dell’art.55 del CCNL 8.6.2000 e dell’art.18 del CCNL 3.11.2005 almeno del 50% rispetto al costo sostenuto per tali prestazioni nell’anno 2012;</w:t>
      </w:r>
    </w:p>
    <w:p w:rsidR="00B971F4" w:rsidRPr="0089318B" w:rsidRDefault="0044651D" w:rsidP="00A34A2D">
      <w:pPr>
        <w:numPr>
          <w:ilvl w:val="0"/>
          <w:numId w:val="5"/>
        </w:numPr>
        <w:spacing w:after="0" w:line="240" w:lineRule="auto"/>
        <w:ind w:left="993" w:hanging="284"/>
        <w:jc w:val="both"/>
        <w:rPr>
          <w:sz w:val="24"/>
          <w:szCs w:val="24"/>
        </w:rPr>
      </w:pPr>
      <w:r>
        <w:rPr>
          <w:sz w:val="24"/>
          <w:szCs w:val="24"/>
        </w:rPr>
        <w:t>costi</w:t>
      </w:r>
      <w:r w:rsidR="00B971F4" w:rsidRPr="0089318B">
        <w:rPr>
          <w:sz w:val="24"/>
          <w:szCs w:val="24"/>
        </w:rPr>
        <w:t xml:space="preserve"> per manutenzioni ordinarie edili impiantistiche </w:t>
      </w:r>
      <w:r>
        <w:rPr>
          <w:sz w:val="24"/>
          <w:szCs w:val="24"/>
        </w:rPr>
        <w:t>non super</w:t>
      </w:r>
      <w:r w:rsidR="00137948">
        <w:rPr>
          <w:sz w:val="24"/>
          <w:szCs w:val="24"/>
        </w:rPr>
        <w:t>iori</w:t>
      </w:r>
      <w:r>
        <w:rPr>
          <w:sz w:val="24"/>
          <w:szCs w:val="24"/>
        </w:rPr>
        <w:t xml:space="preserve"> </w:t>
      </w:r>
      <w:r w:rsidR="00137948">
        <w:rPr>
          <w:sz w:val="24"/>
          <w:szCs w:val="24"/>
        </w:rPr>
        <w:t xml:space="preserve">a </w:t>
      </w:r>
      <w:r>
        <w:rPr>
          <w:sz w:val="24"/>
          <w:szCs w:val="24"/>
        </w:rPr>
        <w:t xml:space="preserve">quelli sostenuti nel 2014, adottando come prioritari gli interventi connessi con la sicurezza delle </w:t>
      </w:r>
      <w:r w:rsidR="00B971F4" w:rsidRPr="0089318B">
        <w:rPr>
          <w:sz w:val="24"/>
          <w:szCs w:val="24"/>
        </w:rPr>
        <w:t>strutture e degli impianti;</w:t>
      </w:r>
    </w:p>
    <w:p w:rsidR="00B971F4" w:rsidRDefault="00B971F4" w:rsidP="00A34A2D">
      <w:pPr>
        <w:numPr>
          <w:ilvl w:val="0"/>
          <w:numId w:val="5"/>
        </w:numPr>
        <w:spacing w:after="0" w:line="240" w:lineRule="auto"/>
        <w:ind w:left="993" w:hanging="284"/>
        <w:jc w:val="both"/>
        <w:rPr>
          <w:sz w:val="24"/>
          <w:szCs w:val="24"/>
        </w:rPr>
      </w:pPr>
      <w:r w:rsidRPr="0089318B">
        <w:rPr>
          <w:sz w:val="24"/>
          <w:szCs w:val="24"/>
        </w:rPr>
        <w:t xml:space="preserve">attuazione del D.L. 6-7-2012, n.95 e </w:t>
      </w:r>
      <w:proofErr w:type="spellStart"/>
      <w:r w:rsidRPr="0089318B">
        <w:rPr>
          <w:sz w:val="24"/>
          <w:szCs w:val="24"/>
        </w:rPr>
        <w:t>s.i.m.</w:t>
      </w:r>
      <w:proofErr w:type="spellEnd"/>
      <w:r w:rsidRPr="0089318B">
        <w:rPr>
          <w:sz w:val="24"/>
          <w:szCs w:val="24"/>
        </w:rPr>
        <w:t xml:space="preserve"> art.15, comma 13 relativamente ai beni e servizi;</w:t>
      </w:r>
    </w:p>
    <w:p w:rsidR="00A17C25" w:rsidRDefault="00A17C25" w:rsidP="00A34A2D">
      <w:pPr>
        <w:numPr>
          <w:ilvl w:val="0"/>
          <w:numId w:val="5"/>
        </w:numPr>
        <w:spacing w:after="0" w:line="240" w:lineRule="auto"/>
        <w:ind w:left="993" w:hanging="284"/>
        <w:jc w:val="both"/>
        <w:rPr>
          <w:sz w:val="24"/>
          <w:szCs w:val="24"/>
        </w:rPr>
      </w:pPr>
      <w:r>
        <w:rPr>
          <w:sz w:val="24"/>
          <w:szCs w:val="24"/>
        </w:rPr>
        <w:t>avvio per le aziende del SSR del</w:t>
      </w:r>
      <w:r w:rsidR="007F5B0E">
        <w:rPr>
          <w:sz w:val="24"/>
          <w:szCs w:val="24"/>
        </w:rPr>
        <w:t xml:space="preserve"> processo di adeguamento alle re</w:t>
      </w:r>
      <w:r>
        <w:rPr>
          <w:sz w:val="24"/>
          <w:szCs w:val="24"/>
        </w:rPr>
        <w:t>g</w:t>
      </w:r>
      <w:r w:rsidR="007F5B0E">
        <w:rPr>
          <w:sz w:val="24"/>
          <w:szCs w:val="24"/>
        </w:rPr>
        <w:t>ole amministrativo-cont</w:t>
      </w:r>
      <w:r>
        <w:rPr>
          <w:sz w:val="24"/>
          <w:szCs w:val="24"/>
        </w:rPr>
        <w:t>a</w:t>
      </w:r>
      <w:r w:rsidR="007F5B0E">
        <w:rPr>
          <w:sz w:val="24"/>
          <w:szCs w:val="24"/>
        </w:rPr>
        <w:t>b</w:t>
      </w:r>
      <w:r>
        <w:rPr>
          <w:sz w:val="24"/>
          <w:szCs w:val="24"/>
        </w:rPr>
        <w:t xml:space="preserve">ili previste dal Titolo </w:t>
      </w:r>
      <w:r w:rsidR="00466DBF">
        <w:rPr>
          <w:sz w:val="24"/>
          <w:szCs w:val="24"/>
        </w:rPr>
        <w:t xml:space="preserve">II del </w:t>
      </w:r>
      <w:proofErr w:type="spellStart"/>
      <w:r w:rsidR="00466DBF">
        <w:rPr>
          <w:sz w:val="24"/>
          <w:szCs w:val="24"/>
        </w:rPr>
        <w:t>D.Lgs.</w:t>
      </w:r>
      <w:proofErr w:type="spellEnd"/>
      <w:r w:rsidR="00466DBF">
        <w:rPr>
          <w:sz w:val="24"/>
          <w:szCs w:val="24"/>
        </w:rPr>
        <w:t xml:space="preserve"> 118/2011 e </w:t>
      </w:r>
      <w:proofErr w:type="spellStart"/>
      <w:r w:rsidR="00466DBF">
        <w:rPr>
          <w:sz w:val="24"/>
          <w:szCs w:val="24"/>
        </w:rPr>
        <w:t>s.m.i</w:t>
      </w:r>
      <w:proofErr w:type="spellEnd"/>
      <w:r w:rsidR="00466DBF">
        <w:rPr>
          <w:sz w:val="24"/>
          <w:szCs w:val="24"/>
        </w:rPr>
        <w:t>.</w:t>
      </w:r>
      <w:r w:rsidR="00137948">
        <w:rPr>
          <w:sz w:val="24"/>
          <w:szCs w:val="24"/>
        </w:rPr>
        <w:t>.</w:t>
      </w:r>
    </w:p>
    <w:p w:rsidR="00E33C4B" w:rsidRDefault="00E33C4B" w:rsidP="00E33C4B">
      <w:pPr>
        <w:spacing w:after="0" w:line="240" w:lineRule="auto"/>
        <w:ind w:left="993"/>
        <w:jc w:val="both"/>
        <w:rPr>
          <w:sz w:val="24"/>
          <w:szCs w:val="24"/>
        </w:rPr>
      </w:pPr>
    </w:p>
    <w:p w:rsidR="00E33C4B" w:rsidRDefault="00E33C4B" w:rsidP="00E33C4B">
      <w:pPr>
        <w:spacing w:after="0" w:line="240" w:lineRule="auto"/>
        <w:ind w:left="993"/>
        <w:jc w:val="both"/>
        <w:rPr>
          <w:sz w:val="24"/>
          <w:szCs w:val="24"/>
        </w:rPr>
      </w:pPr>
      <w:r>
        <w:rPr>
          <w:sz w:val="24"/>
          <w:szCs w:val="24"/>
        </w:rPr>
        <w:t>Le scelte strategiche regi</w:t>
      </w:r>
      <w:r w:rsidR="00137948">
        <w:rPr>
          <w:sz w:val="24"/>
          <w:szCs w:val="24"/>
        </w:rPr>
        <w:t>onali per il 2015 sono orientate</w:t>
      </w:r>
      <w:r>
        <w:rPr>
          <w:sz w:val="24"/>
          <w:szCs w:val="24"/>
        </w:rPr>
        <w:t xml:space="preserve"> alla </w:t>
      </w:r>
      <w:proofErr w:type="spellStart"/>
      <w:r>
        <w:rPr>
          <w:sz w:val="24"/>
          <w:szCs w:val="24"/>
        </w:rPr>
        <w:t>governance</w:t>
      </w:r>
      <w:proofErr w:type="spellEnd"/>
      <w:r>
        <w:rPr>
          <w:sz w:val="24"/>
          <w:szCs w:val="24"/>
        </w:rPr>
        <w:t xml:space="preserve"> clinica integrata e più in particolare:</w:t>
      </w:r>
    </w:p>
    <w:p w:rsidR="00E46B69" w:rsidRPr="001923D6" w:rsidRDefault="00E46B69" w:rsidP="00466DBF">
      <w:pPr>
        <w:numPr>
          <w:ilvl w:val="0"/>
          <w:numId w:val="5"/>
        </w:numPr>
        <w:spacing w:after="0" w:line="240" w:lineRule="auto"/>
        <w:ind w:left="993" w:hanging="284"/>
        <w:jc w:val="both"/>
        <w:rPr>
          <w:sz w:val="24"/>
          <w:szCs w:val="24"/>
        </w:rPr>
      </w:pPr>
      <w:r w:rsidRPr="001923D6">
        <w:rPr>
          <w:sz w:val="24"/>
          <w:szCs w:val="24"/>
        </w:rPr>
        <w:t xml:space="preserve">revisione dei </w:t>
      </w:r>
      <w:proofErr w:type="spellStart"/>
      <w:r w:rsidRPr="001923D6">
        <w:rPr>
          <w:sz w:val="24"/>
          <w:szCs w:val="24"/>
        </w:rPr>
        <w:t>setting</w:t>
      </w:r>
      <w:proofErr w:type="spellEnd"/>
      <w:r w:rsidRPr="001923D6">
        <w:rPr>
          <w:sz w:val="24"/>
          <w:szCs w:val="24"/>
        </w:rPr>
        <w:t xml:space="preserve"> assistenziali per le principali malat</w:t>
      </w:r>
      <w:r w:rsidR="007F5B0E" w:rsidRPr="001923D6">
        <w:rPr>
          <w:sz w:val="24"/>
          <w:szCs w:val="24"/>
        </w:rPr>
        <w:t>tie croniche e di maggiore crit</w:t>
      </w:r>
      <w:r w:rsidRPr="001923D6">
        <w:rPr>
          <w:sz w:val="24"/>
          <w:szCs w:val="24"/>
        </w:rPr>
        <w:t>icità</w:t>
      </w:r>
      <w:r w:rsidR="007F5B0E" w:rsidRPr="001923D6">
        <w:rPr>
          <w:sz w:val="24"/>
          <w:szCs w:val="24"/>
        </w:rPr>
        <w:t>;</w:t>
      </w:r>
    </w:p>
    <w:p w:rsidR="007F5B0E" w:rsidRPr="001923D6" w:rsidRDefault="007F5B0E" w:rsidP="00466DBF">
      <w:pPr>
        <w:numPr>
          <w:ilvl w:val="0"/>
          <w:numId w:val="5"/>
        </w:numPr>
        <w:spacing w:after="0" w:line="240" w:lineRule="auto"/>
        <w:ind w:left="993" w:hanging="284"/>
        <w:jc w:val="both"/>
        <w:rPr>
          <w:sz w:val="24"/>
          <w:szCs w:val="24"/>
        </w:rPr>
      </w:pPr>
      <w:r w:rsidRPr="001923D6">
        <w:rPr>
          <w:sz w:val="24"/>
          <w:szCs w:val="24"/>
        </w:rPr>
        <w:t>promozione della salute e assi</w:t>
      </w:r>
      <w:r w:rsidR="001923D6">
        <w:rPr>
          <w:sz w:val="24"/>
          <w:szCs w:val="24"/>
        </w:rPr>
        <w:t>s</w:t>
      </w:r>
      <w:r w:rsidRPr="001923D6">
        <w:rPr>
          <w:sz w:val="24"/>
          <w:szCs w:val="24"/>
        </w:rPr>
        <w:t>tenza integrata;</w:t>
      </w:r>
    </w:p>
    <w:p w:rsidR="007F5B0E" w:rsidRPr="001923D6" w:rsidRDefault="007F5B0E" w:rsidP="00466DBF">
      <w:pPr>
        <w:numPr>
          <w:ilvl w:val="0"/>
          <w:numId w:val="5"/>
        </w:numPr>
        <w:spacing w:after="0" w:line="240" w:lineRule="auto"/>
        <w:ind w:left="993" w:hanging="284"/>
        <w:jc w:val="both"/>
        <w:rPr>
          <w:sz w:val="24"/>
          <w:szCs w:val="24"/>
        </w:rPr>
      </w:pPr>
      <w:r w:rsidRPr="001923D6">
        <w:rPr>
          <w:sz w:val="24"/>
          <w:szCs w:val="24"/>
        </w:rPr>
        <w:t>razionalizzazione dell’offerta e dell’effettiva copertura alla popolazione delle prestazioni di evidente e dimostrata efficacia, con l’obiettivo di eliminare le pratiche obsolete ed inutili;</w:t>
      </w:r>
    </w:p>
    <w:p w:rsidR="007F5B0E" w:rsidRPr="001923D6" w:rsidRDefault="00B204F4" w:rsidP="00466DBF">
      <w:pPr>
        <w:numPr>
          <w:ilvl w:val="0"/>
          <w:numId w:val="5"/>
        </w:numPr>
        <w:spacing w:after="0" w:line="240" w:lineRule="auto"/>
        <w:ind w:left="993" w:hanging="284"/>
        <w:jc w:val="both"/>
        <w:rPr>
          <w:sz w:val="24"/>
          <w:szCs w:val="24"/>
        </w:rPr>
      </w:pPr>
      <w:r>
        <w:rPr>
          <w:sz w:val="24"/>
          <w:szCs w:val="24"/>
        </w:rPr>
        <w:t>adozione, nelle scelt</w:t>
      </w:r>
      <w:r w:rsidR="007F5B0E" w:rsidRPr="001923D6">
        <w:rPr>
          <w:sz w:val="24"/>
          <w:szCs w:val="24"/>
        </w:rPr>
        <w:t>e di programmazione aziendale, di valutazioni di tecnologia (HTA), sia per le tecnologie che per i processi assistenziali;</w:t>
      </w:r>
    </w:p>
    <w:p w:rsidR="007F5B0E" w:rsidRPr="001923D6" w:rsidRDefault="007F5B0E" w:rsidP="00466DBF">
      <w:pPr>
        <w:numPr>
          <w:ilvl w:val="0"/>
          <w:numId w:val="5"/>
        </w:numPr>
        <w:spacing w:after="0" w:line="240" w:lineRule="auto"/>
        <w:ind w:left="993" w:hanging="284"/>
        <w:jc w:val="both"/>
        <w:rPr>
          <w:sz w:val="24"/>
          <w:szCs w:val="24"/>
        </w:rPr>
      </w:pPr>
      <w:r w:rsidRPr="001923D6">
        <w:rPr>
          <w:sz w:val="24"/>
          <w:szCs w:val="24"/>
        </w:rPr>
        <w:t>avvio della revisione degli attuali modelli organizzativi mediante processi di analisi per ridurre gli sprechi, al fine di un uso efficiente delle risorse;</w:t>
      </w:r>
    </w:p>
    <w:p w:rsidR="007F5B0E" w:rsidRDefault="007F5B0E" w:rsidP="00466DBF">
      <w:pPr>
        <w:numPr>
          <w:ilvl w:val="0"/>
          <w:numId w:val="5"/>
        </w:numPr>
        <w:spacing w:after="0" w:line="240" w:lineRule="auto"/>
        <w:ind w:left="993" w:hanging="284"/>
        <w:jc w:val="both"/>
        <w:rPr>
          <w:sz w:val="24"/>
          <w:szCs w:val="24"/>
        </w:rPr>
      </w:pPr>
      <w:r w:rsidRPr="001923D6">
        <w:rPr>
          <w:sz w:val="24"/>
          <w:szCs w:val="24"/>
        </w:rPr>
        <w:t>intr</w:t>
      </w:r>
      <w:r w:rsidR="00B204F4">
        <w:rPr>
          <w:sz w:val="24"/>
          <w:szCs w:val="24"/>
        </w:rPr>
        <w:t>o</w:t>
      </w:r>
      <w:r w:rsidRPr="001923D6">
        <w:rPr>
          <w:sz w:val="24"/>
          <w:szCs w:val="24"/>
        </w:rPr>
        <w:t>d</w:t>
      </w:r>
      <w:r w:rsidR="00B204F4">
        <w:rPr>
          <w:sz w:val="24"/>
          <w:szCs w:val="24"/>
        </w:rPr>
        <w:t>u</w:t>
      </w:r>
      <w:r w:rsidRPr="001923D6">
        <w:rPr>
          <w:sz w:val="24"/>
          <w:szCs w:val="24"/>
        </w:rPr>
        <w:t>zione più estesa di strumenti di valutazione degli esiti assistenziali e dell’impatto sulla salute della comunità</w:t>
      </w:r>
      <w:r w:rsidR="00B204F4">
        <w:rPr>
          <w:sz w:val="24"/>
          <w:szCs w:val="24"/>
        </w:rPr>
        <w:t>.</w:t>
      </w:r>
    </w:p>
    <w:p w:rsidR="00B204F4" w:rsidRPr="001923D6" w:rsidRDefault="00B204F4" w:rsidP="00B204F4">
      <w:pPr>
        <w:pStyle w:val="Paragrafoelenco"/>
        <w:spacing w:after="0" w:line="240" w:lineRule="auto"/>
        <w:ind w:left="780"/>
        <w:jc w:val="both"/>
        <w:rPr>
          <w:sz w:val="24"/>
          <w:szCs w:val="24"/>
        </w:rPr>
      </w:pPr>
    </w:p>
    <w:p w:rsidR="00CD4DA9" w:rsidRDefault="00CD4DA9" w:rsidP="00A34A2D">
      <w:pPr>
        <w:autoSpaceDE w:val="0"/>
        <w:autoSpaceDN w:val="0"/>
        <w:adjustRightInd w:val="0"/>
        <w:spacing w:after="0" w:line="240" w:lineRule="auto"/>
        <w:jc w:val="both"/>
        <w:rPr>
          <w:rFonts w:cs="DecimaWE"/>
          <w:color w:val="000000"/>
          <w:sz w:val="24"/>
          <w:szCs w:val="24"/>
        </w:rPr>
      </w:pPr>
      <w:r>
        <w:rPr>
          <w:rFonts w:cs="DecimaWE"/>
          <w:color w:val="000000"/>
          <w:sz w:val="24"/>
          <w:szCs w:val="24"/>
        </w:rPr>
        <w:t xml:space="preserve">L’iter della programmazione per l’anno 2015 è stato condizionato dall’approvazione della </w:t>
      </w:r>
      <w:proofErr w:type="spellStart"/>
      <w:r>
        <w:rPr>
          <w:rFonts w:cs="DecimaWE"/>
          <w:color w:val="000000"/>
          <w:sz w:val="24"/>
          <w:szCs w:val="24"/>
        </w:rPr>
        <w:t>L.R.</w:t>
      </w:r>
      <w:proofErr w:type="spellEnd"/>
      <w:r>
        <w:rPr>
          <w:rFonts w:cs="DecimaWE"/>
          <w:color w:val="000000"/>
          <w:sz w:val="24"/>
          <w:szCs w:val="24"/>
        </w:rPr>
        <w:t xml:space="preserve"> 17/2014 del 16.10.2014 di “Riordino dell’assetto istituzionale e organizzativo del Servizio sanitario regionale e norme in materia di programmazione sanitario e sociosanitaria” che ha prorogato al 31.03.2015 i termini per l’adozione del programma annuale e del bilancio preventivo degli enti del SSR.</w:t>
      </w:r>
    </w:p>
    <w:p w:rsidR="00B36AE7" w:rsidRPr="00B92D89" w:rsidRDefault="00B36AE7" w:rsidP="00A34A2D">
      <w:pPr>
        <w:autoSpaceDE w:val="0"/>
        <w:autoSpaceDN w:val="0"/>
        <w:adjustRightInd w:val="0"/>
        <w:spacing w:after="0" w:line="240" w:lineRule="auto"/>
        <w:jc w:val="both"/>
        <w:rPr>
          <w:rFonts w:cs="DecimaWE"/>
          <w:color w:val="000000"/>
          <w:sz w:val="24"/>
          <w:szCs w:val="24"/>
        </w:rPr>
      </w:pPr>
      <w:r w:rsidRPr="00B92D89">
        <w:rPr>
          <w:rFonts w:cs="DecimaWE"/>
          <w:color w:val="000000"/>
          <w:sz w:val="24"/>
          <w:szCs w:val="24"/>
        </w:rPr>
        <w:t>Il percorso di predisposizione del programma aziendale 201</w:t>
      </w:r>
      <w:r w:rsidR="00CD4DA9">
        <w:rPr>
          <w:rFonts w:cs="DecimaWE"/>
          <w:color w:val="000000"/>
          <w:sz w:val="24"/>
          <w:szCs w:val="24"/>
        </w:rPr>
        <w:t>5</w:t>
      </w:r>
      <w:r w:rsidRPr="00B92D89">
        <w:rPr>
          <w:rFonts w:cs="DecimaWE"/>
          <w:color w:val="000000"/>
          <w:sz w:val="24"/>
          <w:szCs w:val="24"/>
        </w:rPr>
        <w:t xml:space="preserve"> si è realizzato attraverso la seguente sequenza:</w:t>
      </w:r>
    </w:p>
    <w:p w:rsidR="00A10ED8" w:rsidRDefault="00A10ED8" w:rsidP="00A34A2D">
      <w:pPr>
        <w:pStyle w:val="Default"/>
        <w:numPr>
          <w:ilvl w:val="0"/>
          <w:numId w:val="3"/>
        </w:numPr>
        <w:jc w:val="both"/>
        <w:rPr>
          <w:rFonts w:asciiTheme="minorHAnsi" w:hAnsiTheme="minorHAnsi"/>
        </w:rPr>
      </w:pPr>
      <w:r>
        <w:rPr>
          <w:rFonts w:asciiTheme="minorHAnsi" w:hAnsiTheme="minorHAnsi"/>
        </w:rPr>
        <w:t>approvazione preliminare delle linee per la gestione del SSR anno 2015 (DGR. 153 del 30.01.2015);</w:t>
      </w:r>
    </w:p>
    <w:p w:rsidR="00A10ED8" w:rsidRDefault="00A10ED8" w:rsidP="00A34A2D">
      <w:pPr>
        <w:pStyle w:val="Default"/>
        <w:numPr>
          <w:ilvl w:val="0"/>
          <w:numId w:val="3"/>
        </w:numPr>
        <w:jc w:val="both"/>
        <w:rPr>
          <w:rFonts w:asciiTheme="minorHAnsi" w:hAnsiTheme="minorHAnsi"/>
        </w:rPr>
      </w:pPr>
      <w:r>
        <w:rPr>
          <w:rFonts w:asciiTheme="minorHAnsi" w:hAnsiTheme="minorHAnsi"/>
        </w:rPr>
        <w:t xml:space="preserve">invio alla Aziende delle “Indicazioni per la redazione dei documenti contabili preventivo 2015”, avvenuto con nota </w:t>
      </w:r>
      <w:proofErr w:type="spellStart"/>
      <w:r>
        <w:rPr>
          <w:rFonts w:asciiTheme="minorHAnsi" w:hAnsiTheme="minorHAnsi"/>
        </w:rPr>
        <w:t>prot</w:t>
      </w:r>
      <w:proofErr w:type="spellEnd"/>
      <w:r>
        <w:rPr>
          <w:rFonts w:asciiTheme="minorHAnsi" w:hAnsiTheme="minorHAnsi"/>
        </w:rPr>
        <w:t>. n. 2663/P del 05.02.2015;</w:t>
      </w:r>
    </w:p>
    <w:p w:rsidR="00A10ED8" w:rsidRDefault="00B36AE7" w:rsidP="00A10ED8">
      <w:pPr>
        <w:pStyle w:val="Default"/>
        <w:numPr>
          <w:ilvl w:val="0"/>
          <w:numId w:val="3"/>
        </w:numPr>
        <w:jc w:val="both"/>
        <w:rPr>
          <w:rFonts w:asciiTheme="minorHAnsi" w:hAnsiTheme="minorHAnsi"/>
        </w:rPr>
      </w:pPr>
      <w:r w:rsidRPr="00E35A12">
        <w:rPr>
          <w:rFonts w:asciiTheme="minorHAnsi" w:hAnsiTheme="minorHAnsi"/>
        </w:rPr>
        <w:t>elaborazione da parte delle Aziende della proposta di PAL/PAO 201</w:t>
      </w:r>
      <w:r w:rsidR="00E35A12" w:rsidRPr="00E35A12">
        <w:rPr>
          <w:rFonts w:asciiTheme="minorHAnsi" w:hAnsiTheme="minorHAnsi"/>
        </w:rPr>
        <w:t xml:space="preserve">4 </w:t>
      </w:r>
      <w:r w:rsidRPr="00E35A12">
        <w:rPr>
          <w:rFonts w:asciiTheme="minorHAnsi" w:hAnsiTheme="minorHAnsi"/>
        </w:rPr>
        <w:t>e trasmissione della stessa alla DCSISSPSF (</w:t>
      </w:r>
      <w:proofErr w:type="spellStart"/>
      <w:r w:rsidRPr="00E35A12">
        <w:rPr>
          <w:rFonts w:asciiTheme="minorHAnsi" w:hAnsiTheme="minorHAnsi"/>
        </w:rPr>
        <w:t>prot</w:t>
      </w:r>
      <w:proofErr w:type="spellEnd"/>
      <w:r w:rsidRPr="00E35A12">
        <w:rPr>
          <w:rFonts w:asciiTheme="minorHAnsi" w:hAnsiTheme="minorHAnsi"/>
        </w:rPr>
        <w:t xml:space="preserve">. CRO n. </w:t>
      </w:r>
      <w:r w:rsidR="00A10ED8">
        <w:rPr>
          <w:rFonts w:asciiTheme="minorHAnsi" w:hAnsiTheme="minorHAnsi"/>
        </w:rPr>
        <w:t>3847</w:t>
      </w:r>
      <w:r w:rsidRPr="00E35A12">
        <w:rPr>
          <w:rFonts w:asciiTheme="minorHAnsi" w:hAnsiTheme="minorHAnsi"/>
        </w:rPr>
        <w:t xml:space="preserve">/DG del </w:t>
      </w:r>
      <w:r w:rsidR="00A10ED8">
        <w:rPr>
          <w:rFonts w:asciiTheme="minorHAnsi" w:hAnsiTheme="minorHAnsi"/>
        </w:rPr>
        <w:t>02.03.2015</w:t>
      </w:r>
      <w:r w:rsidRPr="00E35A12">
        <w:rPr>
          <w:rFonts w:asciiTheme="minorHAnsi" w:hAnsiTheme="minorHAnsi"/>
        </w:rPr>
        <w:t>);</w:t>
      </w:r>
      <w:r w:rsidR="00A10ED8" w:rsidRPr="00A10ED8">
        <w:rPr>
          <w:rFonts w:asciiTheme="minorHAnsi" w:hAnsiTheme="minorHAnsi"/>
        </w:rPr>
        <w:t xml:space="preserve"> </w:t>
      </w:r>
    </w:p>
    <w:p w:rsidR="00A10ED8" w:rsidRPr="00BA35B7" w:rsidRDefault="00A10ED8" w:rsidP="00A10ED8">
      <w:pPr>
        <w:pStyle w:val="Default"/>
        <w:numPr>
          <w:ilvl w:val="0"/>
          <w:numId w:val="3"/>
        </w:numPr>
        <w:jc w:val="both"/>
        <w:rPr>
          <w:rFonts w:asciiTheme="minorHAnsi" w:hAnsiTheme="minorHAnsi"/>
        </w:rPr>
      </w:pPr>
      <w:r w:rsidRPr="00BA35B7">
        <w:rPr>
          <w:rFonts w:asciiTheme="minorHAnsi" w:hAnsiTheme="minorHAnsi"/>
        </w:rPr>
        <w:t>approvazione definitiva delle linee da parte della Giunta (</w:t>
      </w:r>
      <w:r w:rsidRPr="00B92D89">
        <w:rPr>
          <w:rFonts w:asciiTheme="minorHAnsi" w:hAnsiTheme="minorHAnsi"/>
          <w:color w:val="auto"/>
        </w:rPr>
        <w:t xml:space="preserve">DGR </w:t>
      </w:r>
      <w:r>
        <w:rPr>
          <w:rFonts w:asciiTheme="minorHAnsi" w:hAnsiTheme="minorHAnsi"/>
          <w:color w:val="auto"/>
        </w:rPr>
        <w:t>394</w:t>
      </w:r>
      <w:r w:rsidRPr="00B92D89">
        <w:rPr>
          <w:rFonts w:asciiTheme="minorHAnsi" w:hAnsiTheme="minorHAnsi"/>
          <w:color w:val="auto"/>
        </w:rPr>
        <w:t xml:space="preserve"> </w:t>
      </w:r>
      <w:r>
        <w:rPr>
          <w:rFonts w:asciiTheme="minorHAnsi" w:hAnsiTheme="minorHAnsi"/>
          <w:color w:val="auto"/>
        </w:rPr>
        <w:t xml:space="preserve">del </w:t>
      </w:r>
      <w:r w:rsidRPr="00B92D89">
        <w:rPr>
          <w:rFonts w:asciiTheme="minorHAnsi" w:hAnsiTheme="minorHAnsi"/>
          <w:color w:val="auto"/>
        </w:rPr>
        <w:t>06.</w:t>
      </w:r>
      <w:r>
        <w:rPr>
          <w:rFonts w:asciiTheme="minorHAnsi" w:hAnsiTheme="minorHAnsi"/>
          <w:color w:val="auto"/>
        </w:rPr>
        <w:t>03</w:t>
      </w:r>
      <w:r w:rsidRPr="00B92D89">
        <w:rPr>
          <w:rFonts w:asciiTheme="minorHAnsi" w:hAnsiTheme="minorHAnsi"/>
          <w:color w:val="auto"/>
        </w:rPr>
        <w:t>.201</w:t>
      </w:r>
      <w:r>
        <w:rPr>
          <w:rFonts w:asciiTheme="minorHAnsi" w:hAnsiTheme="minorHAnsi"/>
          <w:color w:val="auto"/>
        </w:rPr>
        <w:t>5</w:t>
      </w:r>
      <w:r w:rsidRPr="00BA35B7">
        <w:rPr>
          <w:rFonts w:asciiTheme="minorHAnsi" w:hAnsiTheme="minorHAnsi"/>
        </w:rPr>
        <w:t>)</w:t>
      </w:r>
      <w:r w:rsidRPr="0077208B">
        <w:rPr>
          <w:rFonts w:asciiTheme="minorHAnsi" w:hAnsiTheme="minorHAnsi"/>
        </w:rPr>
        <w:t xml:space="preserve"> che costituiscono il principale riferimento di programmazione attuativa per il SSR</w:t>
      </w:r>
      <w:r w:rsidRPr="00BA35B7">
        <w:rPr>
          <w:rFonts w:asciiTheme="minorHAnsi" w:hAnsiTheme="minorHAnsi"/>
        </w:rPr>
        <w:t>;</w:t>
      </w:r>
    </w:p>
    <w:p w:rsidR="00B36AE7" w:rsidRPr="00D07F52" w:rsidRDefault="00A10ED8" w:rsidP="00A34A2D">
      <w:pPr>
        <w:pStyle w:val="Default"/>
        <w:numPr>
          <w:ilvl w:val="0"/>
          <w:numId w:val="3"/>
        </w:numPr>
        <w:jc w:val="both"/>
        <w:rPr>
          <w:rFonts w:asciiTheme="minorHAnsi" w:hAnsiTheme="minorHAnsi"/>
        </w:rPr>
      </w:pPr>
      <w:r>
        <w:rPr>
          <w:rFonts w:asciiTheme="minorHAnsi" w:hAnsiTheme="minorHAnsi"/>
        </w:rPr>
        <w:t>negoziazione</w:t>
      </w:r>
      <w:r w:rsidR="00B36AE7" w:rsidRPr="00887C43">
        <w:rPr>
          <w:rFonts w:asciiTheme="minorHAnsi" w:eastAsia="DecimaWERg" w:hAnsiTheme="minorHAnsi" w:cs="DecimaWERg"/>
        </w:rPr>
        <w:t xml:space="preserve"> </w:t>
      </w:r>
      <w:r w:rsidR="00B81DBA" w:rsidRPr="00887C43">
        <w:rPr>
          <w:rFonts w:asciiTheme="minorHAnsi" w:eastAsia="DecimaWERg" w:hAnsiTheme="minorHAnsi" w:cs="DecimaWERg"/>
        </w:rPr>
        <w:t>in data 18.</w:t>
      </w:r>
      <w:r>
        <w:rPr>
          <w:rFonts w:asciiTheme="minorHAnsi" w:eastAsia="DecimaWERg" w:hAnsiTheme="minorHAnsi" w:cs="DecimaWERg"/>
        </w:rPr>
        <w:t>03</w:t>
      </w:r>
      <w:r w:rsidR="00B81DBA" w:rsidRPr="00887C43">
        <w:rPr>
          <w:rFonts w:asciiTheme="minorHAnsi" w:eastAsia="DecimaWERg" w:hAnsiTheme="minorHAnsi" w:cs="DecimaWERg"/>
        </w:rPr>
        <w:t>.201</w:t>
      </w:r>
      <w:r>
        <w:rPr>
          <w:rFonts w:asciiTheme="minorHAnsi" w:eastAsia="DecimaWERg" w:hAnsiTheme="minorHAnsi" w:cs="DecimaWERg"/>
        </w:rPr>
        <w:t>5</w:t>
      </w:r>
      <w:r w:rsidR="00B81DBA">
        <w:rPr>
          <w:rFonts w:asciiTheme="minorHAnsi" w:eastAsia="DecimaWERg" w:hAnsiTheme="minorHAnsi" w:cs="DecimaWERg"/>
        </w:rPr>
        <w:t xml:space="preserve"> </w:t>
      </w:r>
      <w:r w:rsidR="00B36AE7" w:rsidRPr="00887C43">
        <w:rPr>
          <w:rFonts w:asciiTheme="minorHAnsi" w:eastAsia="DecimaWERg" w:hAnsiTheme="minorHAnsi" w:cs="DecimaWERg"/>
        </w:rPr>
        <w:t xml:space="preserve">della </w:t>
      </w:r>
      <w:r w:rsidR="00B36AE7" w:rsidRPr="00887C43">
        <w:rPr>
          <w:rFonts w:asciiTheme="minorHAnsi" w:hAnsiTheme="minorHAnsi"/>
        </w:rPr>
        <w:t>DCSISSPSF</w:t>
      </w:r>
      <w:r w:rsidR="00137948">
        <w:rPr>
          <w:rFonts w:asciiTheme="minorHAnsi" w:hAnsiTheme="minorHAnsi"/>
        </w:rPr>
        <w:t xml:space="preserve"> per</w:t>
      </w:r>
      <w:r w:rsidR="00B36AE7" w:rsidRPr="00887C43">
        <w:rPr>
          <w:rFonts w:asciiTheme="minorHAnsi" w:eastAsia="DecimaWERg" w:hAnsiTheme="minorHAnsi" w:cs="DecimaWERg"/>
        </w:rPr>
        <w:t xml:space="preserve"> la verifica della fattibilità tecnica, della sostenibilità economica e del rispetto delle indicazioni </w:t>
      </w:r>
      <w:proofErr w:type="spellStart"/>
      <w:r w:rsidR="00B36AE7" w:rsidRPr="00887C43">
        <w:rPr>
          <w:rFonts w:asciiTheme="minorHAnsi" w:eastAsia="DecimaWERg" w:hAnsiTheme="minorHAnsi" w:cs="DecimaWERg"/>
        </w:rPr>
        <w:t>pianificatorie</w:t>
      </w:r>
      <w:proofErr w:type="spellEnd"/>
      <w:r w:rsidR="00B36AE7" w:rsidRPr="00887C43">
        <w:rPr>
          <w:rFonts w:asciiTheme="minorHAnsi" w:eastAsia="DecimaWERg" w:hAnsiTheme="minorHAnsi" w:cs="DecimaWERg"/>
        </w:rPr>
        <w:t xml:space="preserve"> regionali dell</w:t>
      </w:r>
      <w:r>
        <w:rPr>
          <w:rFonts w:asciiTheme="minorHAnsi" w:eastAsia="DecimaWERg" w:hAnsiTheme="minorHAnsi" w:cs="DecimaWERg"/>
        </w:rPr>
        <w:t>a</w:t>
      </w:r>
      <w:r w:rsidR="00B36AE7" w:rsidRPr="00887C43">
        <w:rPr>
          <w:rFonts w:asciiTheme="minorHAnsi" w:eastAsia="DecimaWERg" w:hAnsiTheme="minorHAnsi" w:cs="DecimaWERg"/>
        </w:rPr>
        <w:t xml:space="preserve"> propost</w:t>
      </w:r>
      <w:r>
        <w:rPr>
          <w:rFonts w:asciiTheme="minorHAnsi" w:eastAsia="DecimaWERg" w:hAnsiTheme="minorHAnsi" w:cs="DecimaWERg"/>
        </w:rPr>
        <w:t>a</w:t>
      </w:r>
      <w:r w:rsidR="00B36AE7" w:rsidRPr="00887C43">
        <w:rPr>
          <w:rFonts w:asciiTheme="minorHAnsi" w:eastAsia="DecimaWERg" w:hAnsiTheme="minorHAnsi" w:cs="DecimaWERg"/>
        </w:rPr>
        <w:t xml:space="preserve"> di </w:t>
      </w:r>
      <w:r>
        <w:rPr>
          <w:rFonts w:asciiTheme="minorHAnsi" w:eastAsia="DecimaWERg" w:hAnsiTheme="minorHAnsi" w:cs="DecimaWERg"/>
        </w:rPr>
        <w:t>PAO presentata dal CRO</w:t>
      </w:r>
      <w:r w:rsidR="00B36AE7" w:rsidRPr="00887C43">
        <w:rPr>
          <w:rFonts w:asciiTheme="minorHAnsi" w:eastAsia="DecimaWERg" w:hAnsiTheme="minorHAnsi" w:cs="DecimaWERg"/>
        </w:rPr>
        <w:t>;</w:t>
      </w:r>
    </w:p>
    <w:p w:rsidR="002A3CB0" w:rsidRDefault="00120A0B" w:rsidP="00A34A2D">
      <w:pPr>
        <w:pStyle w:val="Default"/>
        <w:numPr>
          <w:ilvl w:val="0"/>
          <w:numId w:val="3"/>
        </w:numPr>
        <w:jc w:val="both"/>
        <w:rPr>
          <w:rFonts w:asciiTheme="minorHAnsi" w:hAnsiTheme="minorHAnsi"/>
        </w:rPr>
      </w:pPr>
      <w:r w:rsidRPr="002A3CB0">
        <w:rPr>
          <w:rFonts w:asciiTheme="minorHAnsi" w:hAnsiTheme="minorHAnsi"/>
        </w:rPr>
        <w:t>invio, da parte della Direzione centrale salute, integrazione sociosanitaria, politiche sociali e famiglia (DCSISSPSF), de</w:t>
      </w:r>
      <w:r w:rsidR="00A10ED8" w:rsidRPr="002A3CB0">
        <w:rPr>
          <w:rFonts w:asciiTheme="minorHAnsi" w:hAnsiTheme="minorHAnsi"/>
        </w:rPr>
        <w:t xml:space="preserve">lle osservazioni sulla negoziazione intercorsa </w:t>
      </w:r>
      <w:r w:rsidR="002A3CB0">
        <w:rPr>
          <w:rFonts w:asciiTheme="minorHAnsi" w:hAnsiTheme="minorHAnsi"/>
        </w:rPr>
        <w:t>(mail in data 24.03.2015)</w:t>
      </w:r>
    </w:p>
    <w:p w:rsidR="002A3CB0" w:rsidRPr="002A3CB0" w:rsidRDefault="00BA35B7" w:rsidP="002A3CB0">
      <w:pPr>
        <w:pStyle w:val="Default"/>
        <w:numPr>
          <w:ilvl w:val="0"/>
          <w:numId w:val="3"/>
        </w:numPr>
        <w:jc w:val="both"/>
        <w:rPr>
          <w:rFonts w:ascii="Calibri" w:eastAsia="Calibri" w:hAnsi="Calibri"/>
        </w:rPr>
      </w:pPr>
      <w:r w:rsidRPr="002A3CB0">
        <w:rPr>
          <w:rFonts w:asciiTheme="minorHAnsi" w:hAnsiTheme="minorHAnsi"/>
        </w:rPr>
        <w:t>approvazione del PAL/PAO 201</w:t>
      </w:r>
      <w:r w:rsidR="002A3CB0">
        <w:rPr>
          <w:rFonts w:asciiTheme="minorHAnsi" w:hAnsiTheme="minorHAnsi"/>
        </w:rPr>
        <w:t>5</w:t>
      </w:r>
      <w:r w:rsidR="00B36AE7" w:rsidRPr="002A3CB0">
        <w:rPr>
          <w:rFonts w:asciiTheme="minorHAnsi" w:hAnsiTheme="minorHAnsi"/>
        </w:rPr>
        <w:t xml:space="preserve"> (deliberazione CRO n. </w:t>
      </w:r>
      <w:r w:rsidR="002A3CB0">
        <w:rPr>
          <w:rFonts w:asciiTheme="minorHAnsi" w:hAnsiTheme="minorHAnsi"/>
        </w:rPr>
        <w:t>84</w:t>
      </w:r>
      <w:r w:rsidR="00B36AE7" w:rsidRPr="002A3CB0">
        <w:rPr>
          <w:rFonts w:asciiTheme="minorHAnsi" w:hAnsiTheme="minorHAnsi"/>
        </w:rPr>
        <w:t xml:space="preserve"> del </w:t>
      </w:r>
      <w:r w:rsidRPr="002A3CB0">
        <w:rPr>
          <w:rFonts w:asciiTheme="minorHAnsi" w:hAnsiTheme="minorHAnsi"/>
        </w:rPr>
        <w:t>3</w:t>
      </w:r>
      <w:r w:rsidR="002A3CB0">
        <w:rPr>
          <w:rFonts w:asciiTheme="minorHAnsi" w:hAnsiTheme="minorHAnsi"/>
        </w:rPr>
        <w:t>1</w:t>
      </w:r>
      <w:r w:rsidR="00B36AE7" w:rsidRPr="002A3CB0">
        <w:rPr>
          <w:rFonts w:asciiTheme="minorHAnsi" w:hAnsiTheme="minorHAnsi"/>
        </w:rPr>
        <w:t>.</w:t>
      </w:r>
      <w:r w:rsidR="002A3CB0">
        <w:rPr>
          <w:rFonts w:asciiTheme="minorHAnsi" w:hAnsiTheme="minorHAnsi"/>
        </w:rPr>
        <w:t>03</w:t>
      </w:r>
      <w:r w:rsidR="00B36AE7" w:rsidRPr="002A3CB0">
        <w:rPr>
          <w:rFonts w:asciiTheme="minorHAnsi" w:hAnsiTheme="minorHAnsi"/>
        </w:rPr>
        <w:t>.201</w:t>
      </w:r>
      <w:r w:rsidR="002A3CB0">
        <w:rPr>
          <w:rFonts w:asciiTheme="minorHAnsi" w:hAnsiTheme="minorHAnsi"/>
        </w:rPr>
        <w:t>5</w:t>
      </w:r>
      <w:r w:rsidR="00B36AE7" w:rsidRPr="002A3CB0">
        <w:rPr>
          <w:rFonts w:asciiTheme="minorHAnsi" w:hAnsiTheme="minorHAnsi"/>
        </w:rPr>
        <w:t>);</w:t>
      </w:r>
      <w:r w:rsidR="002A3CB0" w:rsidRPr="002A3CB0">
        <w:rPr>
          <w:rFonts w:asciiTheme="minorHAnsi" w:hAnsiTheme="minorHAnsi"/>
        </w:rPr>
        <w:t xml:space="preserve"> </w:t>
      </w:r>
    </w:p>
    <w:p w:rsidR="002A3CB0" w:rsidRPr="00091096" w:rsidRDefault="002A3CB0" w:rsidP="002A3CB0">
      <w:pPr>
        <w:pStyle w:val="Default"/>
        <w:numPr>
          <w:ilvl w:val="0"/>
          <w:numId w:val="3"/>
        </w:numPr>
        <w:jc w:val="both"/>
        <w:rPr>
          <w:rFonts w:ascii="Calibri" w:eastAsia="Calibri" w:hAnsi="Calibri"/>
        </w:rPr>
      </w:pPr>
      <w:r w:rsidRPr="006A4528">
        <w:rPr>
          <w:rFonts w:asciiTheme="minorHAnsi" w:hAnsiTheme="minorHAnsi"/>
        </w:rPr>
        <w:t>adozione del programma ed il bilancio preventivo annuale consolidato da parte della Giunta Regionale (DGR n. 13</w:t>
      </w:r>
      <w:r>
        <w:rPr>
          <w:rFonts w:asciiTheme="minorHAnsi" w:hAnsiTheme="minorHAnsi"/>
        </w:rPr>
        <w:t>63</w:t>
      </w:r>
      <w:r w:rsidRPr="006A4528">
        <w:rPr>
          <w:rFonts w:asciiTheme="minorHAnsi" w:hAnsiTheme="minorHAnsi"/>
        </w:rPr>
        <w:t xml:space="preserve"> del 1</w:t>
      </w:r>
      <w:r>
        <w:rPr>
          <w:rFonts w:asciiTheme="minorHAnsi" w:hAnsiTheme="minorHAnsi"/>
        </w:rPr>
        <w:t>0</w:t>
      </w:r>
      <w:r w:rsidRPr="006A4528">
        <w:rPr>
          <w:rFonts w:asciiTheme="minorHAnsi" w:hAnsiTheme="minorHAnsi"/>
        </w:rPr>
        <w:t>.07.201</w:t>
      </w:r>
      <w:r>
        <w:rPr>
          <w:rFonts w:asciiTheme="minorHAnsi" w:hAnsiTheme="minorHAnsi"/>
        </w:rPr>
        <w:t>5</w:t>
      </w:r>
      <w:r w:rsidRPr="00091096">
        <w:rPr>
          <w:rFonts w:ascii="Calibri" w:eastAsia="Calibri" w:hAnsi="Calibri"/>
        </w:rPr>
        <w:t>, integrata e modificata con le DGR n.</w:t>
      </w:r>
      <w:r w:rsidR="00466DBF">
        <w:rPr>
          <w:rFonts w:ascii="Calibri" w:eastAsia="Calibri" w:hAnsi="Calibri"/>
        </w:rPr>
        <w:t>1871</w:t>
      </w:r>
      <w:r w:rsidRPr="00091096">
        <w:rPr>
          <w:rFonts w:ascii="Calibri" w:eastAsia="Calibri" w:hAnsi="Calibri"/>
        </w:rPr>
        <w:t xml:space="preserve"> del </w:t>
      </w:r>
      <w:r w:rsidR="00466DBF">
        <w:rPr>
          <w:rFonts w:ascii="Calibri" w:eastAsia="Calibri" w:hAnsi="Calibri"/>
        </w:rPr>
        <w:t xml:space="preserve">25.09.2015, </w:t>
      </w:r>
      <w:r w:rsidRPr="00091096">
        <w:rPr>
          <w:rFonts w:ascii="Calibri" w:eastAsia="Calibri" w:hAnsi="Calibri"/>
        </w:rPr>
        <w:t>DGR 2</w:t>
      </w:r>
      <w:r w:rsidR="00466DBF">
        <w:rPr>
          <w:rFonts w:ascii="Calibri" w:eastAsia="Calibri" w:hAnsi="Calibri"/>
        </w:rPr>
        <w:t>434</w:t>
      </w:r>
      <w:r w:rsidRPr="00091096">
        <w:rPr>
          <w:rFonts w:ascii="Calibri" w:eastAsia="Calibri" w:hAnsi="Calibri"/>
        </w:rPr>
        <w:t xml:space="preserve"> del </w:t>
      </w:r>
      <w:r w:rsidR="00466DBF">
        <w:rPr>
          <w:rFonts w:ascii="Calibri" w:eastAsia="Calibri" w:hAnsi="Calibri"/>
        </w:rPr>
        <w:t>04.12.2015 e DGR 2560 del 22.12.2015)</w:t>
      </w:r>
    </w:p>
    <w:p w:rsidR="00FC2543" w:rsidRPr="00FC2543" w:rsidRDefault="00FC2543" w:rsidP="00A34A2D">
      <w:pPr>
        <w:pStyle w:val="Paragrafoelenco"/>
        <w:numPr>
          <w:ilvl w:val="0"/>
          <w:numId w:val="3"/>
        </w:numPr>
        <w:autoSpaceDE w:val="0"/>
        <w:autoSpaceDN w:val="0"/>
        <w:adjustRightInd w:val="0"/>
        <w:spacing w:after="0" w:line="240" w:lineRule="auto"/>
        <w:contextualSpacing w:val="0"/>
        <w:jc w:val="both"/>
      </w:pPr>
      <w:r w:rsidRPr="00B07236">
        <w:rPr>
          <w:sz w:val="24"/>
          <w:szCs w:val="24"/>
        </w:rPr>
        <w:t>approvazione del</w:t>
      </w:r>
      <w:r w:rsidRPr="00FC2543">
        <w:rPr>
          <w:rFonts w:cs="DecimaWE-Regular"/>
          <w:sz w:val="24"/>
          <w:szCs w:val="24"/>
        </w:rPr>
        <w:t xml:space="preserve"> Patto tra Regione e Direttori generali degli enti del servizio sanitario regionale (DGR n. </w:t>
      </w:r>
      <w:r w:rsidR="002A3CB0">
        <w:rPr>
          <w:rFonts w:cs="DecimaWE-Regular"/>
          <w:sz w:val="24"/>
          <w:szCs w:val="24"/>
        </w:rPr>
        <w:t>1364</w:t>
      </w:r>
      <w:r w:rsidRPr="00FC2543">
        <w:rPr>
          <w:rFonts w:cs="DecimaWE-Regular"/>
          <w:sz w:val="24"/>
          <w:szCs w:val="24"/>
        </w:rPr>
        <w:t xml:space="preserve"> del </w:t>
      </w:r>
      <w:r w:rsidR="002A3CB0">
        <w:rPr>
          <w:rFonts w:cs="DecimaWE-Regular"/>
          <w:sz w:val="24"/>
          <w:szCs w:val="24"/>
        </w:rPr>
        <w:t>10</w:t>
      </w:r>
      <w:r w:rsidRPr="00FC2543">
        <w:rPr>
          <w:rFonts w:cs="DecimaWE-Regular"/>
          <w:sz w:val="24"/>
          <w:szCs w:val="24"/>
        </w:rPr>
        <w:t>.0</w:t>
      </w:r>
      <w:r w:rsidR="002A3CB0">
        <w:rPr>
          <w:rFonts w:cs="DecimaWE-Regular"/>
          <w:sz w:val="24"/>
          <w:szCs w:val="24"/>
        </w:rPr>
        <w:t>7</w:t>
      </w:r>
      <w:r w:rsidRPr="00FC2543">
        <w:rPr>
          <w:rFonts w:cs="DecimaWE-Regular"/>
          <w:sz w:val="24"/>
          <w:szCs w:val="24"/>
        </w:rPr>
        <w:t>.201</w:t>
      </w:r>
      <w:r w:rsidR="002A3CB0">
        <w:rPr>
          <w:rFonts w:cs="DecimaWE-Regular"/>
          <w:sz w:val="24"/>
          <w:szCs w:val="24"/>
        </w:rPr>
        <w:t>5</w:t>
      </w:r>
      <w:r w:rsidRPr="00FC2543">
        <w:rPr>
          <w:rFonts w:cs="DecimaWE-Regular"/>
          <w:sz w:val="24"/>
          <w:szCs w:val="24"/>
        </w:rPr>
        <w:t>)</w:t>
      </w:r>
      <w:r w:rsidR="00466DBF">
        <w:rPr>
          <w:rFonts w:cs="DecimaWE-Regular"/>
          <w:sz w:val="24"/>
          <w:szCs w:val="24"/>
        </w:rPr>
        <w:t>.</w:t>
      </w:r>
    </w:p>
    <w:p w:rsidR="00E35A12" w:rsidRDefault="00E35A12" w:rsidP="00A34A2D">
      <w:pPr>
        <w:pStyle w:val="Rientrocorpodeltesto3"/>
        <w:widowControl/>
        <w:spacing w:after="0"/>
        <w:ind w:left="0"/>
        <w:jc w:val="both"/>
        <w:rPr>
          <w:b/>
          <w:spacing w:val="-6"/>
          <w:sz w:val="22"/>
          <w:szCs w:val="22"/>
        </w:rPr>
      </w:pPr>
    </w:p>
    <w:p w:rsidR="000D020E" w:rsidRPr="000D020E" w:rsidRDefault="00466DBF" w:rsidP="00A34A2D">
      <w:pPr>
        <w:pStyle w:val="Default"/>
        <w:jc w:val="both"/>
        <w:rPr>
          <w:rFonts w:asciiTheme="minorHAnsi" w:hAnsiTheme="minorHAnsi" w:cs="Times New Roman"/>
          <w:color w:val="auto"/>
        </w:rPr>
      </w:pPr>
      <w:r>
        <w:rPr>
          <w:rFonts w:asciiTheme="minorHAnsi" w:hAnsiTheme="minorHAnsi" w:cs="Times New Roman"/>
          <w:color w:val="auto"/>
        </w:rPr>
        <w:t xml:space="preserve">Tenuto conto dello scenario di riferimento e delle scelte </w:t>
      </w:r>
      <w:r w:rsidR="002507DD">
        <w:rPr>
          <w:rFonts w:asciiTheme="minorHAnsi" w:hAnsiTheme="minorHAnsi" w:cs="Times New Roman"/>
          <w:color w:val="auto"/>
        </w:rPr>
        <w:t xml:space="preserve">strategiche regionali, </w:t>
      </w:r>
      <w:r w:rsidR="000D020E" w:rsidRPr="000D020E">
        <w:rPr>
          <w:rFonts w:asciiTheme="minorHAnsi" w:hAnsiTheme="minorHAnsi" w:cs="Times New Roman"/>
          <w:color w:val="auto"/>
        </w:rPr>
        <w:t>le indicazioni della Regione in tema di programmazione delle Aziende e degli Enti Sanitari per l’anno 201</w:t>
      </w:r>
      <w:r w:rsidR="002507DD">
        <w:rPr>
          <w:rFonts w:asciiTheme="minorHAnsi" w:hAnsiTheme="minorHAnsi" w:cs="Times New Roman"/>
          <w:color w:val="auto"/>
        </w:rPr>
        <w:t>5</w:t>
      </w:r>
      <w:r w:rsidR="000D020E" w:rsidRPr="000D020E">
        <w:rPr>
          <w:rFonts w:asciiTheme="minorHAnsi" w:hAnsiTheme="minorHAnsi" w:cs="Times New Roman"/>
          <w:color w:val="auto"/>
        </w:rPr>
        <w:t xml:space="preserve"> sono </w:t>
      </w:r>
      <w:r w:rsidR="002507DD">
        <w:rPr>
          <w:rFonts w:asciiTheme="minorHAnsi" w:hAnsiTheme="minorHAnsi" w:cs="Times New Roman"/>
          <w:color w:val="auto"/>
        </w:rPr>
        <w:t>orientate allo sviluppo delle seguenti progettualità:</w:t>
      </w:r>
    </w:p>
    <w:p w:rsidR="000D020E" w:rsidRDefault="002507DD" w:rsidP="00A34A2D">
      <w:pPr>
        <w:pStyle w:val="Default"/>
        <w:numPr>
          <w:ilvl w:val="0"/>
          <w:numId w:val="7"/>
        </w:numPr>
        <w:jc w:val="both"/>
        <w:rPr>
          <w:rFonts w:asciiTheme="minorHAnsi" w:hAnsiTheme="minorHAnsi"/>
        </w:rPr>
      </w:pPr>
      <w:r>
        <w:rPr>
          <w:rFonts w:asciiTheme="minorHAnsi" w:hAnsiTheme="minorHAnsi"/>
        </w:rPr>
        <w:t>progetti di riorganizzazione delle funzioni</w:t>
      </w:r>
      <w:r w:rsidR="000D020E" w:rsidRPr="000D020E">
        <w:rPr>
          <w:rFonts w:asciiTheme="minorHAnsi" w:hAnsiTheme="minorHAnsi"/>
        </w:rPr>
        <w:t xml:space="preserve">; </w:t>
      </w:r>
    </w:p>
    <w:p w:rsidR="0077208B" w:rsidRPr="000D020E" w:rsidRDefault="002507DD" w:rsidP="00A34A2D">
      <w:pPr>
        <w:pStyle w:val="Default"/>
        <w:numPr>
          <w:ilvl w:val="0"/>
          <w:numId w:val="7"/>
        </w:numPr>
        <w:jc w:val="both"/>
        <w:rPr>
          <w:rFonts w:asciiTheme="minorHAnsi" w:hAnsiTheme="minorHAnsi"/>
        </w:rPr>
      </w:pPr>
      <w:r>
        <w:rPr>
          <w:rFonts w:asciiTheme="minorHAnsi" w:hAnsiTheme="minorHAnsi"/>
        </w:rPr>
        <w:lastRenderedPageBreak/>
        <w:t>prevenzione</w:t>
      </w:r>
      <w:r w:rsidR="0077208B">
        <w:rPr>
          <w:rFonts w:asciiTheme="minorHAnsi" w:hAnsiTheme="minorHAnsi"/>
        </w:rPr>
        <w:t>;</w:t>
      </w:r>
    </w:p>
    <w:p w:rsidR="000D020E" w:rsidRPr="000D020E" w:rsidRDefault="002507DD" w:rsidP="00A34A2D">
      <w:pPr>
        <w:pStyle w:val="Default"/>
        <w:numPr>
          <w:ilvl w:val="0"/>
          <w:numId w:val="7"/>
        </w:numPr>
        <w:jc w:val="both"/>
        <w:rPr>
          <w:rFonts w:asciiTheme="minorHAnsi" w:hAnsiTheme="minorHAnsi"/>
        </w:rPr>
      </w:pPr>
      <w:r>
        <w:rPr>
          <w:rFonts w:asciiTheme="minorHAnsi" w:hAnsiTheme="minorHAnsi"/>
        </w:rPr>
        <w:t>assistenza primaria</w:t>
      </w:r>
      <w:r w:rsidR="000D020E" w:rsidRPr="000D020E">
        <w:rPr>
          <w:rFonts w:asciiTheme="minorHAnsi" w:hAnsiTheme="minorHAnsi"/>
        </w:rPr>
        <w:t xml:space="preserve">; </w:t>
      </w:r>
    </w:p>
    <w:p w:rsidR="00641C70" w:rsidRDefault="002507DD" w:rsidP="00A34A2D">
      <w:pPr>
        <w:pStyle w:val="Default"/>
        <w:numPr>
          <w:ilvl w:val="0"/>
          <w:numId w:val="7"/>
        </w:numPr>
        <w:jc w:val="both"/>
        <w:rPr>
          <w:rFonts w:asciiTheme="minorHAnsi" w:hAnsiTheme="minorHAnsi"/>
        </w:rPr>
      </w:pPr>
      <w:r w:rsidRPr="002507DD">
        <w:rPr>
          <w:rFonts w:asciiTheme="minorHAnsi" w:hAnsiTheme="minorHAnsi"/>
        </w:rPr>
        <w:t xml:space="preserve">progetti attinenti le attività </w:t>
      </w:r>
      <w:proofErr w:type="spellStart"/>
      <w:r w:rsidRPr="002507DD">
        <w:rPr>
          <w:rFonts w:asciiTheme="minorHAnsi" w:hAnsiTheme="minorHAnsi"/>
        </w:rPr>
        <w:t>clinico-assistenzia</w:t>
      </w:r>
      <w:r>
        <w:rPr>
          <w:rFonts w:asciiTheme="minorHAnsi" w:hAnsiTheme="minorHAnsi"/>
        </w:rPr>
        <w:t>li</w:t>
      </w:r>
      <w:proofErr w:type="spellEnd"/>
      <w:r>
        <w:rPr>
          <w:rFonts w:asciiTheme="minorHAnsi" w:hAnsiTheme="minorHAnsi"/>
        </w:rPr>
        <w:t>;</w:t>
      </w:r>
    </w:p>
    <w:p w:rsidR="002507DD" w:rsidRDefault="002507DD" w:rsidP="00A34A2D">
      <w:pPr>
        <w:pStyle w:val="Default"/>
        <w:numPr>
          <w:ilvl w:val="0"/>
          <w:numId w:val="7"/>
        </w:numPr>
        <w:jc w:val="both"/>
        <w:rPr>
          <w:rFonts w:asciiTheme="minorHAnsi" w:hAnsiTheme="minorHAnsi"/>
        </w:rPr>
      </w:pPr>
      <w:r>
        <w:rPr>
          <w:rFonts w:asciiTheme="minorHAnsi" w:hAnsiTheme="minorHAnsi"/>
        </w:rPr>
        <w:t>assistenza farmaceutica</w:t>
      </w:r>
    </w:p>
    <w:p w:rsidR="002507DD" w:rsidRDefault="002507DD" w:rsidP="00A34A2D">
      <w:pPr>
        <w:pStyle w:val="Default"/>
        <w:numPr>
          <w:ilvl w:val="0"/>
          <w:numId w:val="7"/>
        </w:numPr>
        <w:jc w:val="both"/>
        <w:rPr>
          <w:rFonts w:asciiTheme="minorHAnsi" w:hAnsiTheme="minorHAnsi"/>
        </w:rPr>
      </w:pPr>
      <w:r>
        <w:rPr>
          <w:rFonts w:asciiTheme="minorHAnsi" w:hAnsiTheme="minorHAnsi"/>
        </w:rPr>
        <w:t>progetti attinenti la programmazione degli interventi socio-sanitari;</w:t>
      </w:r>
    </w:p>
    <w:p w:rsidR="002507DD" w:rsidRDefault="002507DD" w:rsidP="00A34A2D">
      <w:pPr>
        <w:pStyle w:val="Default"/>
        <w:numPr>
          <w:ilvl w:val="0"/>
          <w:numId w:val="7"/>
        </w:numPr>
        <w:jc w:val="both"/>
        <w:rPr>
          <w:rFonts w:asciiTheme="minorHAnsi" w:hAnsiTheme="minorHAnsi"/>
        </w:rPr>
      </w:pPr>
      <w:r>
        <w:rPr>
          <w:rFonts w:asciiTheme="minorHAnsi" w:hAnsiTheme="minorHAnsi"/>
        </w:rPr>
        <w:t>progetti attinenti le attività amministrative e tecniche.</w:t>
      </w:r>
    </w:p>
    <w:p w:rsidR="002507DD" w:rsidRPr="002507DD" w:rsidRDefault="002507DD" w:rsidP="002507DD">
      <w:pPr>
        <w:pStyle w:val="Default"/>
        <w:ind w:left="1080"/>
        <w:jc w:val="both"/>
        <w:rPr>
          <w:rFonts w:asciiTheme="minorHAnsi" w:hAnsiTheme="minorHAnsi"/>
        </w:rPr>
      </w:pPr>
    </w:p>
    <w:p w:rsidR="00396658" w:rsidRPr="008E6399" w:rsidRDefault="00BD464A" w:rsidP="00A34A2D">
      <w:pPr>
        <w:spacing w:after="0" w:line="240" w:lineRule="auto"/>
        <w:jc w:val="both"/>
        <w:rPr>
          <w:rFonts w:cs="Times New Roman"/>
          <w:sz w:val="24"/>
          <w:szCs w:val="24"/>
        </w:rPr>
      </w:pPr>
      <w:r w:rsidRPr="008E6399">
        <w:rPr>
          <w:rFonts w:cs="Times New Roman"/>
          <w:sz w:val="24"/>
          <w:szCs w:val="24"/>
        </w:rPr>
        <w:t>I</w:t>
      </w:r>
      <w:r w:rsidR="001A7087" w:rsidRPr="008E6399">
        <w:rPr>
          <w:rFonts w:cs="Times New Roman"/>
          <w:sz w:val="24"/>
          <w:szCs w:val="24"/>
        </w:rPr>
        <w:t>l programma annuale</w:t>
      </w:r>
      <w:r w:rsidR="00AF0B48" w:rsidRPr="008E6399">
        <w:rPr>
          <w:rFonts w:cs="Times New Roman"/>
          <w:sz w:val="24"/>
          <w:szCs w:val="24"/>
        </w:rPr>
        <w:t xml:space="preserve"> aziendale</w:t>
      </w:r>
      <w:r w:rsidR="009951C8" w:rsidRPr="008E6399">
        <w:rPr>
          <w:rFonts w:cs="Times New Roman"/>
          <w:sz w:val="24"/>
          <w:szCs w:val="24"/>
        </w:rPr>
        <w:t xml:space="preserve"> </w:t>
      </w:r>
      <w:r w:rsidR="00AF0B48" w:rsidRPr="008E6399">
        <w:rPr>
          <w:rFonts w:cs="Times New Roman"/>
          <w:sz w:val="24"/>
          <w:szCs w:val="24"/>
        </w:rPr>
        <w:t>riporta</w:t>
      </w:r>
      <w:r w:rsidR="001A7087" w:rsidRPr="008E6399">
        <w:rPr>
          <w:rFonts w:cs="Times New Roman"/>
          <w:sz w:val="24"/>
          <w:szCs w:val="24"/>
        </w:rPr>
        <w:t xml:space="preserve"> la programmazione </w:t>
      </w:r>
      <w:proofErr w:type="spellStart"/>
      <w:r w:rsidR="001A7087" w:rsidRPr="008E6399">
        <w:rPr>
          <w:rFonts w:cs="Times New Roman"/>
          <w:sz w:val="24"/>
          <w:szCs w:val="24"/>
        </w:rPr>
        <w:t>quali-quantitativa</w:t>
      </w:r>
      <w:proofErr w:type="spellEnd"/>
      <w:r w:rsidR="001A7087" w:rsidRPr="008E6399">
        <w:rPr>
          <w:rFonts w:cs="Times New Roman"/>
          <w:sz w:val="24"/>
          <w:szCs w:val="24"/>
        </w:rPr>
        <w:t xml:space="preserve"> delle prestazioni, le linee di attività dell’area </w:t>
      </w:r>
      <w:proofErr w:type="spellStart"/>
      <w:r w:rsidR="001A7087" w:rsidRPr="008E6399">
        <w:rPr>
          <w:rFonts w:cs="Times New Roman"/>
          <w:sz w:val="24"/>
          <w:szCs w:val="24"/>
        </w:rPr>
        <w:t>clinico-assistenziale</w:t>
      </w:r>
      <w:proofErr w:type="spellEnd"/>
      <w:r w:rsidR="001A7087" w:rsidRPr="008E6399">
        <w:rPr>
          <w:rFonts w:cs="Times New Roman"/>
          <w:sz w:val="24"/>
          <w:szCs w:val="24"/>
        </w:rPr>
        <w:t xml:space="preserve"> e di ricerca e gli obiettivi afferenti alle linee progettuali indicate dalla Regione. </w:t>
      </w:r>
    </w:p>
    <w:p w:rsidR="001A7087" w:rsidRPr="008E6399" w:rsidRDefault="001A7087" w:rsidP="00A34A2D">
      <w:pPr>
        <w:spacing w:after="0" w:line="240" w:lineRule="auto"/>
        <w:jc w:val="both"/>
        <w:rPr>
          <w:rFonts w:cs="Times New Roman"/>
          <w:sz w:val="24"/>
          <w:szCs w:val="24"/>
        </w:rPr>
      </w:pPr>
      <w:r w:rsidRPr="008E6399">
        <w:rPr>
          <w:rFonts w:cs="Times New Roman"/>
          <w:sz w:val="24"/>
          <w:szCs w:val="24"/>
        </w:rPr>
        <w:t>Sempre secondo le indicazioni dell</w:t>
      </w:r>
      <w:r w:rsidR="00AF0B48" w:rsidRPr="008E6399">
        <w:rPr>
          <w:rFonts w:cs="Times New Roman"/>
          <w:sz w:val="24"/>
          <w:szCs w:val="24"/>
        </w:rPr>
        <w:t>e linee per la gestione del SSR,</w:t>
      </w:r>
      <w:r w:rsidRPr="008E6399">
        <w:rPr>
          <w:rFonts w:cs="Times New Roman"/>
          <w:sz w:val="24"/>
          <w:szCs w:val="24"/>
        </w:rPr>
        <w:t xml:space="preserve"> il documento non </w:t>
      </w:r>
      <w:r w:rsidR="00AF0B48" w:rsidRPr="008E6399">
        <w:rPr>
          <w:rFonts w:cs="Times New Roman"/>
          <w:sz w:val="24"/>
          <w:szCs w:val="24"/>
        </w:rPr>
        <w:t>contiene</w:t>
      </w:r>
      <w:r w:rsidRPr="008E6399">
        <w:rPr>
          <w:rFonts w:cs="Times New Roman"/>
          <w:sz w:val="24"/>
          <w:szCs w:val="24"/>
        </w:rPr>
        <w:t xml:space="preserve"> la revisione del programma e del bilancio preventivo triennale.</w:t>
      </w:r>
    </w:p>
    <w:p w:rsidR="008E6399" w:rsidRDefault="00AD6DD2" w:rsidP="00A34A2D">
      <w:pPr>
        <w:spacing w:after="0" w:line="240" w:lineRule="auto"/>
        <w:jc w:val="both"/>
        <w:rPr>
          <w:sz w:val="24"/>
          <w:szCs w:val="24"/>
        </w:rPr>
      </w:pPr>
      <w:r w:rsidRPr="0077208B">
        <w:rPr>
          <w:sz w:val="24"/>
          <w:szCs w:val="24"/>
        </w:rPr>
        <w:t xml:space="preserve">Nel corso dell’anno con DGR n. </w:t>
      </w:r>
      <w:r w:rsidR="002507DD">
        <w:rPr>
          <w:sz w:val="24"/>
          <w:szCs w:val="24"/>
        </w:rPr>
        <w:t>2560</w:t>
      </w:r>
      <w:r w:rsidRPr="0077208B">
        <w:rPr>
          <w:sz w:val="24"/>
          <w:szCs w:val="24"/>
        </w:rPr>
        <w:t xml:space="preserve"> del </w:t>
      </w:r>
      <w:r w:rsidR="002507DD">
        <w:rPr>
          <w:sz w:val="24"/>
          <w:szCs w:val="24"/>
        </w:rPr>
        <w:t>22.12.2015</w:t>
      </w:r>
      <w:r w:rsidRPr="0077208B">
        <w:rPr>
          <w:sz w:val="24"/>
          <w:szCs w:val="24"/>
        </w:rPr>
        <w:t>, sono state apportate delle modifiche alla programmazione annuale.</w:t>
      </w:r>
    </w:p>
    <w:p w:rsidR="00AD6DD2" w:rsidRPr="009951C8" w:rsidRDefault="00AD6DD2" w:rsidP="001A7087">
      <w:pPr>
        <w:jc w:val="both"/>
        <w:rPr>
          <w:sz w:val="24"/>
          <w:szCs w:val="24"/>
        </w:rPr>
      </w:pPr>
    </w:p>
    <w:p w:rsidR="00992E66" w:rsidRPr="00927899" w:rsidRDefault="00927899" w:rsidP="00927899">
      <w:pPr>
        <w:pStyle w:val="Paragrafoelenco"/>
        <w:autoSpaceDE w:val="0"/>
        <w:autoSpaceDN w:val="0"/>
        <w:adjustRightInd w:val="0"/>
        <w:spacing w:after="0" w:line="240" w:lineRule="auto"/>
        <w:ind w:left="0"/>
        <w:rPr>
          <w:b/>
          <w:sz w:val="26"/>
          <w:szCs w:val="26"/>
        </w:rPr>
      </w:pPr>
      <w:r>
        <w:rPr>
          <w:b/>
          <w:sz w:val="26"/>
          <w:szCs w:val="26"/>
        </w:rPr>
        <w:t xml:space="preserve">3.1 </w:t>
      </w:r>
      <w:r w:rsidR="00E15FD1">
        <w:rPr>
          <w:b/>
          <w:sz w:val="26"/>
          <w:szCs w:val="26"/>
        </w:rPr>
        <w:t xml:space="preserve">Monitoraggio della gestione </w:t>
      </w:r>
      <w:r w:rsidR="00E976F7" w:rsidRPr="00927899">
        <w:rPr>
          <w:b/>
          <w:sz w:val="26"/>
          <w:szCs w:val="26"/>
        </w:rPr>
        <w:fldChar w:fldCharType="begin"/>
      </w:r>
      <w:r w:rsidR="0036369C" w:rsidRPr="00927899">
        <w:rPr>
          <w:sz w:val="26"/>
          <w:szCs w:val="26"/>
        </w:rPr>
        <w:instrText xml:space="preserve"> XE "</w:instrText>
      </w:r>
      <w:r w:rsidR="00236706" w:rsidRPr="00927899">
        <w:rPr>
          <w:b/>
          <w:sz w:val="26"/>
          <w:szCs w:val="26"/>
        </w:rPr>
        <w:instrText>3</w:instrText>
      </w:r>
      <w:r w:rsidR="00066F35" w:rsidRPr="00927899">
        <w:rPr>
          <w:b/>
          <w:sz w:val="26"/>
          <w:szCs w:val="26"/>
        </w:rPr>
        <w:instrText>.1</w:instrText>
      </w:r>
      <w:r w:rsidR="0036369C" w:rsidRPr="00927899">
        <w:rPr>
          <w:b/>
          <w:sz w:val="26"/>
          <w:szCs w:val="26"/>
        </w:rPr>
        <w:instrText xml:space="preserve"> </w:instrText>
      </w:r>
      <w:r w:rsidR="00B26055">
        <w:rPr>
          <w:b/>
          <w:sz w:val="26"/>
          <w:szCs w:val="26"/>
        </w:rPr>
        <w:instrText>Monitoraggio della gestione</w:instrText>
      </w:r>
      <w:r w:rsidR="0036369C" w:rsidRPr="00927899">
        <w:rPr>
          <w:sz w:val="26"/>
          <w:szCs w:val="26"/>
        </w:rPr>
        <w:instrText xml:space="preserve">" </w:instrText>
      </w:r>
      <w:r w:rsidR="00E976F7" w:rsidRPr="00927899">
        <w:rPr>
          <w:b/>
          <w:sz w:val="26"/>
          <w:szCs w:val="26"/>
        </w:rPr>
        <w:fldChar w:fldCharType="end"/>
      </w:r>
    </w:p>
    <w:p w:rsidR="002F6C2B" w:rsidRPr="002703D2" w:rsidRDefault="002F6C2B" w:rsidP="00E95BCF">
      <w:pPr>
        <w:pStyle w:val="Default"/>
        <w:ind w:left="420" w:hanging="140"/>
        <w:jc w:val="both"/>
        <w:rPr>
          <w:rFonts w:asciiTheme="minorHAnsi" w:hAnsiTheme="minorHAnsi"/>
          <w:sz w:val="16"/>
          <w:szCs w:val="16"/>
        </w:rPr>
      </w:pPr>
    </w:p>
    <w:p w:rsidR="00A769CD" w:rsidRPr="009951C8" w:rsidRDefault="00E15FD1" w:rsidP="00A34A2D">
      <w:pPr>
        <w:pStyle w:val="Default"/>
        <w:ind w:left="420" w:hanging="420"/>
        <w:jc w:val="both"/>
        <w:rPr>
          <w:rFonts w:asciiTheme="minorHAnsi" w:hAnsiTheme="minorHAnsi"/>
          <w:u w:val="single"/>
        </w:rPr>
      </w:pPr>
      <w:r>
        <w:rPr>
          <w:rFonts w:asciiTheme="minorHAnsi" w:hAnsiTheme="minorHAnsi"/>
          <w:u w:val="single"/>
        </w:rPr>
        <w:t>TRIMESTRALE</w:t>
      </w:r>
    </w:p>
    <w:p w:rsidR="005446E8" w:rsidRPr="001B5536" w:rsidRDefault="001604DD" w:rsidP="00A34A2D">
      <w:pPr>
        <w:spacing w:after="0" w:line="240" w:lineRule="auto"/>
        <w:jc w:val="both"/>
        <w:rPr>
          <w:rFonts w:cs="Times New Roman"/>
          <w:sz w:val="24"/>
          <w:szCs w:val="24"/>
        </w:rPr>
      </w:pPr>
      <w:r w:rsidRPr="001B5536">
        <w:rPr>
          <w:rFonts w:cs="Times New Roman"/>
          <w:sz w:val="24"/>
          <w:szCs w:val="24"/>
        </w:rPr>
        <w:t xml:space="preserve">Il monitoraggio </w:t>
      </w:r>
      <w:r w:rsidR="001A7087" w:rsidRPr="001B5536">
        <w:rPr>
          <w:rFonts w:cs="Times New Roman"/>
          <w:sz w:val="24"/>
          <w:szCs w:val="24"/>
        </w:rPr>
        <w:t xml:space="preserve">trimestrale </w:t>
      </w:r>
      <w:r w:rsidRPr="001B5536">
        <w:rPr>
          <w:rFonts w:cs="Times New Roman"/>
          <w:sz w:val="24"/>
          <w:szCs w:val="24"/>
        </w:rPr>
        <w:t xml:space="preserve">dell’attuazione del programma e del rispetto dei vincoli di bilancio </w:t>
      </w:r>
      <w:r w:rsidR="005446E8" w:rsidRPr="001B5536">
        <w:rPr>
          <w:rFonts w:cs="Times New Roman"/>
          <w:sz w:val="24"/>
          <w:szCs w:val="24"/>
        </w:rPr>
        <w:t>è stato effettuato secondo le indicazioni della LR 49/1996 con la seguente articolazione: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2346"/>
        <w:gridCol w:w="2331"/>
        <w:gridCol w:w="2268"/>
      </w:tblGrid>
      <w:tr w:rsidR="005446E8" w:rsidRPr="009951C8" w:rsidTr="002601F1">
        <w:trPr>
          <w:trHeight w:val="1097"/>
        </w:trPr>
        <w:tc>
          <w:tcPr>
            <w:tcW w:w="2694" w:type="dxa"/>
          </w:tcPr>
          <w:p w:rsidR="005446E8" w:rsidRPr="009951C8" w:rsidRDefault="005446E8" w:rsidP="00A34A2D">
            <w:pPr>
              <w:autoSpaceDE w:val="0"/>
              <w:autoSpaceDN w:val="0"/>
              <w:adjustRightInd w:val="0"/>
              <w:jc w:val="both"/>
              <w:rPr>
                <w:rFonts w:eastAsia="DecimaWERg" w:cs="DecimaWERg"/>
                <w:sz w:val="24"/>
                <w:szCs w:val="24"/>
              </w:rPr>
            </w:pPr>
          </w:p>
        </w:tc>
        <w:tc>
          <w:tcPr>
            <w:tcW w:w="2346" w:type="dxa"/>
          </w:tcPr>
          <w:p w:rsidR="001A7087" w:rsidRPr="009951C8" w:rsidRDefault="005446E8" w:rsidP="00A34A2D">
            <w:pPr>
              <w:jc w:val="both"/>
              <w:rPr>
                <w:rFonts w:eastAsia="DecimaWERg" w:cs="DecimaWERg"/>
                <w:sz w:val="24"/>
                <w:szCs w:val="24"/>
              </w:rPr>
            </w:pPr>
            <w:r w:rsidRPr="009951C8">
              <w:rPr>
                <w:rFonts w:eastAsia="DecimaWERg" w:cs="DecimaWERg"/>
                <w:sz w:val="24"/>
                <w:szCs w:val="24"/>
              </w:rPr>
              <w:t>I trimestre</w:t>
            </w:r>
          </w:p>
          <w:p w:rsidR="005446E8" w:rsidRPr="009951C8" w:rsidRDefault="001A7087" w:rsidP="002507DD">
            <w:pPr>
              <w:jc w:val="both"/>
              <w:rPr>
                <w:sz w:val="24"/>
                <w:szCs w:val="24"/>
              </w:rPr>
            </w:pPr>
            <w:r w:rsidRPr="009951C8">
              <w:rPr>
                <w:rFonts w:eastAsia="DecimaWERg" w:cs="DecimaWERg"/>
                <w:sz w:val="24"/>
                <w:szCs w:val="24"/>
              </w:rPr>
              <w:t>(</w:t>
            </w:r>
            <w:r w:rsidRPr="009951C8">
              <w:rPr>
                <w:b/>
                <w:sz w:val="24"/>
                <w:szCs w:val="24"/>
              </w:rPr>
              <w:t xml:space="preserve">delibera CRO n. </w:t>
            </w:r>
            <w:r w:rsidR="000634A1">
              <w:rPr>
                <w:b/>
                <w:sz w:val="24"/>
                <w:szCs w:val="24"/>
              </w:rPr>
              <w:t>1</w:t>
            </w:r>
            <w:r w:rsidR="002507DD">
              <w:rPr>
                <w:b/>
                <w:sz w:val="24"/>
                <w:szCs w:val="24"/>
              </w:rPr>
              <w:t>31</w:t>
            </w:r>
            <w:r w:rsidR="000634A1">
              <w:rPr>
                <w:b/>
                <w:sz w:val="24"/>
                <w:szCs w:val="24"/>
              </w:rPr>
              <w:t xml:space="preserve"> del 15.05.201</w:t>
            </w:r>
            <w:r w:rsidR="002507DD">
              <w:rPr>
                <w:b/>
                <w:sz w:val="24"/>
                <w:szCs w:val="24"/>
              </w:rPr>
              <w:t>5</w:t>
            </w:r>
            <w:r w:rsidRPr="009951C8">
              <w:rPr>
                <w:b/>
                <w:sz w:val="24"/>
                <w:szCs w:val="24"/>
              </w:rPr>
              <w:t>)</w:t>
            </w:r>
            <w:r w:rsidR="005446E8" w:rsidRPr="009951C8">
              <w:rPr>
                <w:rFonts w:eastAsia="DecimaWERg" w:cs="DecimaWERg"/>
                <w:sz w:val="24"/>
                <w:szCs w:val="24"/>
              </w:rPr>
              <w:t xml:space="preserve"> </w:t>
            </w:r>
          </w:p>
        </w:tc>
        <w:tc>
          <w:tcPr>
            <w:tcW w:w="2331" w:type="dxa"/>
          </w:tcPr>
          <w:p w:rsidR="005446E8" w:rsidRPr="009951C8" w:rsidRDefault="005446E8" w:rsidP="00A34A2D">
            <w:pPr>
              <w:jc w:val="both"/>
              <w:rPr>
                <w:rFonts w:eastAsia="DecimaWERg" w:cs="DecimaWERg"/>
                <w:sz w:val="24"/>
                <w:szCs w:val="24"/>
              </w:rPr>
            </w:pPr>
            <w:r w:rsidRPr="009951C8">
              <w:rPr>
                <w:rFonts w:eastAsia="DecimaWERg" w:cs="DecimaWERg"/>
                <w:sz w:val="24"/>
                <w:szCs w:val="24"/>
              </w:rPr>
              <w:t xml:space="preserve">II trimestre II </w:t>
            </w:r>
          </w:p>
          <w:p w:rsidR="001A7087" w:rsidRPr="009951C8" w:rsidRDefault="001A7087" w:rsidP="002507DD">
            <w:pPr>
              <w:jc w:val="both"/>
              <w:rPr>
                <w:sz w:val="24"/>
                <w:szCs w:val="24"/>
              </w:rPr>
            </w:pPr>
            <w:r w:rsidRPr="009951C8">
              <w:rPr>
                <w:b/>
                <w:sz w:val="24"/>
                <w:szCs w:val="24"/>
              </w:rPr>
              <w:t xml:space="preserve">(delibera CRO n. </w:t>
            </w:r>
            <w:r w:rsidR="000634A1">
              <w:rPr>
                <w:b/>
                <w:sz w:val="24"/>
                <w:szCs w:val="24"/>
              </w:rPr>
              <w:t>1</w:t>
            </w:r>
            <w:r w:rsidR="002507DD">
              <w:rPr>
                <w:b/>
                <w:sz w:val="24"/>
                <w:szCs w:val="24"/>
              </w:rPr>
              <w:t>83</w:t>
            </w:r>
            <w:r w:rsidRPr="009951C8">
              <w:rPr>
                <w:b/>
                <w:sz w:val="24"/>
                <w:szCs w:val="24"/>
              </w:rPr>
              <w:t xml:space="preserve"> del </w:t>
            </w:r>
            <w:r w:rsidR="002507DD">
              <w:rPr>
                <w:b/>
                <w:sz w:val="24"/>
                <w:szCs w:val="24"/>
              </w:rPr>
              <w:t>13</w:t>
            </w:r>
            <w:r w:rsidRPr="009951C8">
              <w:rPr>
                <w:b/>
                <w:sz w:val="24"/>
                <w:szCs w:val="24"/>
              </w:rPr>
              <w:t>.0</w:t>
            </w:r>
            <w:r w:rsidR="002507DD">
              <w:rPr>
                <w:b/>
                <w:sz w:val="24"/>
                <w:szCs w:val="24"/>
              </w:rPr>
              <w:t>8</w:t>
            </w:r>
            <w:r w:rsidRPr="009951C8">
              <w:rPr>
                <w:b/>
                <w:sz w:val="24"/>
                <w:szCs w:val="24"/>
              </w:rPr>
              <w:t>.201</w:t>
            </w:r>
            <w:r w:rsidR="002507DD">
              <w:rPr>
                <w:b/>
                <w:sz w:val="24"/>
                <w:szCs w:val="24"/>
              </w:rPr>
              <w:t>5</w:t>
            </w:r>
            <w:r w:rsidRPr="009951C8">
              <w:rPr>
                <w:b/>
                <w:sz w:val="24"/>
                <w:szCs w:val="24"/>
              </w:rPr>
              <w:t>)</w:t>
            </w:r>
          </w:p>
        </w:tc>
        <w:tc>
          <w:tcPr>
            <w:tcW w:w="2268" w:type="dxa"/>
          </w:tcPr>
          <w:p w:rsidR="005446E8" w:rsidRPr="009951C8" w:rsidRDefault="005446E8" w:rsidP="00A34A2D">
            <w:pPr>
              <w:jc w:val="both"/>
              <w:rPr>
                <w:rFonts w:eastAsia="DecimaWERg" w:cs="DecimaWERg"/>
                <w:sz w:val="24"/>
                <w:szCs w:val="24"/>
              </w:rPr>
            </w:pPr>
            <w:r w:rsidRPr="009951C8">
              <w:rPr>
                <w:rFonts w:eastAsia="DecimaWERg" w:cs="DecimaWERg"/>
                <w:sz w:val="24"/>
                <w:szCs w:val="24"/>
              </w:rPr>
              <w:t>III trimestre</w:t>
            </w:r>
          </w:p>
          <w:p w:rsidR="001A7087" w:rsidRPr="009951C8" w:rsidRDefault="001A7087" w:rsidP="002507DD">
            <w:pPr>
              <w:jc w:val="both"/>
              <w:rPr>
                <w:sz w:val="24"/>
                <w:szCs w:val="24"/>
              </w:rPr>
            </w:pPr>
            <w:r w:rsidRPr="009951C8">
              <w:rPr>
                <w:b/>
                <w:sz w:val="24"/>
                <w:szCs w:val="24"/>
              </w:rPr>
              <w:t xml:space="preserve">(delibera CRO n. </w:t>
            </w:r>
            <w:r w:rsidR="000634A1">
              <w:rPr>
                <w:b/>
                <w:sz w:val="24"/>
                <w:szCs w:val="24"/>
              </w:rPr>
              <w:t>23</w:t>
            </w:r>
            <w:r w:rsidR="002507DD">
              <w:rPr>
                <w:b/>
                <w:sz w:val="24"/>
                <w:szCs w:val="24"/>
              </w:rPr>
              <w:t>7</w:t>
            </w:r>
            <w:r w:rsidRPr="009951C8">
              <w:rPr>
                <w:b/>
                <w:sz w:val="24"/>
                <w:szCs w:val="24"/>
              </w:rPr>
              <w:t xml:space="preserve"> del </w:t>
            </w:r>
            <w:r w:rsidR="000634A1">
              <w:rPr>
                <w:b/>
                <w:sz w:val="24"/>
                <w:szCs w:val="24"/>
              </w:rPr>
              <w:t>2</w:t>
            </w:r>
            <w:r w:rsidR="002507DD">
              <w:rPr>
                <w:b/>
                <w:sz w:val="24"/>
                <w:szCs w:val="24"/>
              </w:rPr>
              <w:t>9</w:t>
            </w:r>
            <w:r w:rsidRPr="009951C8">
              <w:rPr>
                <w:b/>
                <w:sz w:val="24"/>
                <w:szCs w:val="24"/>
              </w:rPr>
              <w:t>.1</w:t>
            </w:r>
            <w:r w:rsidR="002507DD">
              <w:rPr>
                <w:b/>
                <w:sz w:val="24"/>
                <w:szCs w:val="24"/>
              </w:rPr>
              <w:t>0</w:t>
            </w:r>
            <w:r w:rsidR="000634A1">
              <w:rPr>
                <w:b/>
                <w:sz w:val="24"/>
                <w:szCs w:val="24"/>
              </w:rPr>
              <w:t>.201</w:t>
            </w:r>
            <w:r w:rsidR="002507DD">
              <w:rPr>
                <w:b/>
                <w:sz w:val="24"/>
                <w:szCs w:val="24"/>
              </w:rPr>
              <w:t>5</w:t>
            </w:r>
            <w:r w:rsidRPr="009951C8">
              <w:rPr>
                <w:b/>
                <w:sz w:val="24"/>
                <w:szCs w:val="24"/>
              </w:rPr>
              <w:t>)</w:t>
            </w:r>
          </w:p>
        </w:tc>
      </w:tr>
      <w:tr w:rsidR="005446E8" w:rsidRPr="009951C8" w:rsidTr="002601F1">
        <w:tc>
          <w:tcPr>
            <w:tcW w:w="2694" w:type="dxa"/>
          </w:tcPr>
          <w:p w:rsidR="005446E8" w:rsidRPr="009951C8" w:rsidRDefault="005446E8" w:rsidP="00A34A2D">
            <w:pPr>
              <w:autoSpaceDE w:val="0"/>
              <w:autoSpaceDN w:val="0"/>
              <w:adjustRightInd w:val="0"/>
              <w:jc w:val="both"/>
              <w:rPr>
                <w:rFonts w:eastAsia="DecimaWERg" w:cs="DecimaWERg"/>
                <w:sz w:val="24"/>
                <w:szCs w:val="24"/>
              </w:rPr>
            </w:pPr>
            <w:r w:rsidRPr="009951C8">
              <w:rPr>
                <w:rFonts w:eastAsia="DecimaWERg" w:cs="DecimaWERg"/>
                <w:sz w:val="24"/>
                <w:szCs w:val="24"/>
              </w:rPr>
              <w:t>Risorse economiche</w:t>
            </w:r>
          </w:p>
        </w:tc>
        <w:tc>
          <w:tcPr>
            <w:tcW w:w="2346" w:type="dxa"/>
          </w:tcPr>
          <w:p w:rsidR="005446E8" w:rsidRPr="009951C8" w:rsidRDefault="005446E8" w:rsidP="00B517D4">
            <w:pPr>
              <w:autoSpaceDE w:val="0"/>
              <w:autoSpaceDN w:val="0"/>
              <w:adjustRightInd w:val="0"/>
              <w:jc w:val="center"/>
              <w:rPr>
                <w:rFonts w:eastAsia="DecimaWERg" w:cs="DecimaWERg"/>
                <w:sz w:val="24"/>
                <w:szCs w:val="24"/>
              </w:rPr>
            </w:pPr>
            <w:r w:rsidRPr="009951C8">
              <w:rPr>
                <w:rFonts w:eastAsia="DecimaWERg" w:cs="DecimaWERg"/>
                <w:sz w:val="24"/>
                <w:szCs w:val="24"/>
              </w:rPr>
              <w:sym w:font="Wingdings 2" w:char="F053"/>
            </w:r>
          </w:p>
        </w:tc>
        <w:tc>
          <w:tcPr>
            <w:tcW w:w="2331" w:type="dxa"/>
          </w:tcPr>
          <w:p w:rsidR="005446E8" w:rsidRPr="009951C8" w:rsidRDefault="005446E8" w:rsidP="00B517D4">
            <w:pPr>
              <w:jc w:val="center"/>
              <w:rPr>
                <w:sz w:val="24"/>
                <w:szCs w:val="24"/>
              </w:rPr>
            </w:pPr>
            <w:r w:rsidRPr="009951C8">
              <w:rPr>
                <w:rFonts w:eastAsia="DecimaWERg" w:cs="DecimaWERg"/>
                <w:sz w:val="24"/>
                <w:szCs w:val="24"/>
              </w:rPr>
              <w:sym w:font="Wingdings 2" w:char="F053"/>
            </w:r>
          </w:p>
        </w:tc>
        <w:tc>
          <w:tcPr>
            <w:tcW w:w="2268" w:type="dxa"/>
          </w:tcPr>
          <w:p w:rsidR="005446E8" w:rsidRPr="009951C8" w:rsidRDefault="005446E8" w:rsidP="00B517D4">
            <w:pPr>
              <w:jc w:val="center"/>
              <w:rPr>
                <w:sz w:val="24"/>
                <w:szCs w:val="24"/>
              </w:rPr>
            </w:pPr>
            <w:r w:rsidRPr="009951C8">
              <w:rPr>
                <w:rFonts w:eastAsia="DecimaWERg" w:cs="DecimaWERg"/>
                <w:sz w:val="24"/>
                <w:szCs w:val="24"/>
              </w:rPr>
              <w:sym w:font="Wingdings 2" w:char="F053"/>
            </w:r>
          </w:p>
        </w:tc>
      </w:tr>
      <w:tr w:rsidR="005446E8" w:rsidRPr="009951C8" w:rsidTr="002601F1">
        <w:tc>
          <w:tcPr>
            <w:tcW w:w="2694" w:type="dxa"/>
          </w:tcPr>
          <w:p w:rsidR="005446E8" w:rsidRPr="009951C8" w:rsidRDefault="005446E8" w:rsidP="00A34A2D">
            <w:pPr>
              <w:autoSpaceDE w:val="0"/>
              <w:autoSpaceDN w:val="0"/>
              <w:adjustRightInd w:val="0"/>
              <w:jc w:val="both"/>
              <w:rPr>
                <w:rFonts w:eastAsia="DecimaWERg" w:cs="DecimaWERg"/>
                <w:sz w:val="24"/>
                <w:szCs w:val="24"/>
              </w:rPr>
            </w:pPr>
            <w:r w:rsidRPr="009951C8">
              <w:rPr>
                <w:rFonts w:eastAsia="DecimaWERg" w:cs="DecimaWERg"/>
                <w:sz w:val="24"/>
                <w:szCs w:val="24"/>
              </w:rPr>
              <w:t>Manovra del personale</w:t>
            </w:r>
          </w:p>
        </w:tc>
        <w:tc>
          <w:tcPr>
            <w:tcW w:w="2346" w:type="dxa"/>
          </w:tcPr>
          <w:p w:rsidR="005446E8" w:rsidRPr="009951C8" w:rsidRDefault="005446E8" w:rsidP="00B517D4">
            <w:pPr>
              <w:autoSpaceDE w:val="0"/>
              <w:autoSpaceDN w:val="0"/>
              <w:adjustRightInd w:val="0"/>
              <w:jc w:val="center"/>
              <w:rPr>
                <w:rFonts w:eastAsia="DecimaWERg" w:cs="DecimaWERg"/>
                <w:sz w:val="24"/>
                <w:szCs w:val="24"/>
              </w:rPr>
            </w:pPr>
            <w:r w:rsidRPr="009951C8">
              <w:rPr>
                <w:rFonts w:eastAsia="DecimaWERg" w:cs="DecimaWERg"/>
                <w:sz w:val="24"/>
                <w:szCs w:val="24"/>
              </w:rPr>
              <w:sym w:font="Wingdings 2" w:char="F053"/>
            </w:r>
          </w:p>
        </w:tc>
        <w:tc>
          <w:tcPr>
            <w:tcW w:w="2331" w:type="dxa"/>
          </w:tcPr>
          <w:p w:rsidR="005446E8" w:rsidRPr="009951C8" w:rsidRDefault="005446E8" w:rsidP="00B517D4">
            <w:pPr>
              <w:jc w:val="center"/>
              <w:rPr>
                <w:sz w:val="24"/>
                <w:szCs w:val="24"/>
              </w:rPr>
            </w:pPr>
            <w:r w:rsidRPr="009951C8">
              <w:rPr>
                <w:rFonts w:eastAsia="DecimaWERg" w:cs="DecimaWERg"/>
                <w:sz w:val="24"/>
                <w:szCs w:val="24"/>
              </w:rPr>
              <w:sym w:font="Wingdings 2" w:char="F053"/>
            </w:r>
          </w:p>
        </w:tc>
        <w:tc>
          <w:tcPr>
            <w:tcW w:w="2268" w:type="dxa"/>
          </w:tcPr>
          <w:p w:rsidR="005446E8" w:rsidRPr="009951C8" w:rsidRDefault="005446E8" w:rsidP="00B517D4">
            <w:pPr>
              <w:jc w:val="center"/>
              <w:rPr>
                <w:sz w:val="24"/>
                <w:szCs w:val="24"/>
              </w:rPr>
            </w:pPr>
            <w:r w:rsidRPr="009951C8">
              <w:rPr>
                <w:rFonts w:eastAsia="DecimaWERg" w:cs="DecimaWERg"/>
                <w:sz w:val="24"/>
                <w:szCs w:val="24"/>
              </w:rPr>
              <w:sym w:font="Wingdings 2" w:char="F053"/>
            </w:r>
          </w:p>
        </w:tc>
      </w:tr>
      <w:tr w:rsidR="005446E8" w:rsidRPr="009951C8" w:rsidTr="002601F1">
        <w:tc>
          <w:tcPr>
            <w:tcW w:w="2694" w:type="dxa"/>
          </w:tcPr>
          <w:p w:rsidR="005446E8" w:rsidRPr="009951C8" w:rsidRDefault="005446E8" w:rsidP="00A34A2D">
            <w:pPr>
              <w:autoSpaceDE w:val="0"/>
              <w:autoSpaceDN w:val="0"/>
              <w:adjustRightInd w:val="0"/>
              <w:jc w:val="both"/>
              <w:rPr>
                <w:rFonts w:eastAsia="DecimaWERg" w:cs="DecimaWERg"/>
                <w:sz w:val="24"/>
                <w:szCs w:val="24"/>
              </w:rPr>
            </w:pPr>
            <w:r w:rsidRPr="00E53EA6">
              <w:rPr>
                <w:rFonts w:eastAsia="DecimaWERg" w:cs="DecimaWERg"/>
                <w:sz w:val="24"/>
                <w:szCs w:val="24"/>
              </w:rPr>
              <w:t>Piano degli investimenti</w:t>
            </w:r>
          </w:p>
        </w:tc>
        <w:tc>
          <w:tcPr>
            <w:tcW w:w="2346" w:type="dxa"/>
          </w:tcPr>
          <w:p w:rsidR="005446E8" w:rsidRPr="009951C8" w:rsidRDefault="005446E8" w:rsidP="00B517D4">
            <w:pPr>
              <w:autoSpaceDE w:val="0"/>
              <w:autoSpaceDN w:val="0"/>
              <w:adjustRightInd w:val="0"/>
              <w:jc w:val="center"/>
              <w:rPr>
                <w:rFonts w:eastAsia="DecimaWERg" w:cs="DecimaWERg"/>
                <w:sz w:val="24"/>
                <w:szCs w:val="24"/>
              </w:rPr>
            </w:pPr>
          </w:p>
        </w:tc>
        <w:tc>
          <w:tcPr>
            <w:tcW w:w="2331" w:type="dxa"/>
          </w:tcPr>
          <w:p w:rsidR="005446E8" w:rsidRPr="009951C8" w:rsidRDefault="005446E8" w:rsidP="00B517D4">
            <w:pPr>
              <w:jc w:val="center"/>
              <w:rPr>
                <w:sz w:val="24"/>
                <w:szCs w:val="24"/>
              </w:rPr>
            </w:pPr>
            <w:r w:rsidRPr="009951C8">
              <w:rPr>
                <w:rFonts w:eastAsia="DecimaWERg" w:cs="DecimaWERg"/>
                <w:sz w:val="24"/>
                <w:szCs w:val="24"/>
              </w:rPr>
              <w:sym w:font="Wingdings 2" w:char="F053"/>
            </w:r>
          </w:p>
        </w:tc>
        <w:tc>
          <w:tcPr>
            <w:tcW w:w="2268" w:type="dxa"/>
          </w:tcPr>
          <w:p w:rsidR="005446E8" w:rsidRPr="009951C8" w:rsidRDefault="005446E8" w:rsidP="00B517D4">
            <w:pPr>
              <w:jc w:val="center"/>
              <w:rPr>
                <w:sz w:val="24"/>
                <w:szCs w:val="24"/>
              </w:rPr>
            </w:pPr>
          </w:p>
        </w:tc>
      </w:tr>
      <w:tr w:rsidR="005446E8" w:rsidRPr="009951C8" w:rsidTr="002601F1">
        <w:tc>
          <w:tcPr>
            <w:tcW w:w="2694" w:type="dxa"/>
          </w:tcPr>
          <w:p w:rsidR="005446E8" w:rsidRPr="009951C8" w:rsidRDefault="002703D2" w:rsidP="00A34A2D">
            <w:pPr>
              <w:autoSpaceDE w:val="0"/>
              <w:autoSpaceDN w:val="0"/>
              <w:adjustRightInd w:val="0"/>
              <w:jc w:val="both"/>
              <w:rPr>
                <w:rFonts w:eastAsia="DecimaWERg" w:cs="DecimaWERg"/>
                <w:sz w:val="24"/>
                <w:szCs w:val="24"/>
              </w:rPr>
            </w:pPr>
            <w:r>
              <w:rPr>
                <w:rFonts w:eastAsia="DecimaWERg" w:cs="DecimaWERg"/>
                <w:sz w:val="24"/>
                <w:szCs w:val="24"/>
              </w:rPr>
              <w:t>Progettualità</w:t>
            </w:r>
            <w:r w:rsidR="005446E8" w:rsidRPr="009951C8">
              <w:rPr>
                <w:rFonts w:eastAsia="DecimaWERg" w:cs="DecimaWERg"/>
                <w:sz w:val="24"/>
                <w:szCs w:val="24"/>
              </w:rPr>
              <w:t xml:space="preserve"> aziendali</w:t>
            </w:r>
          </w:p>
        </w:tc>
        <w:tc>
          <w:tcPr>
            <w:tcW w:w="2346" w:type="dxa"/>
          </w:tcPr>
          <w:p w:rsidR="005446E8" w:rsidRPr="009951C8" w:rsidRDefault="005446E8" w:rsidP="00B517D4">
            <w:pPr>
              <w:autoSpaceDE w:val="0"/>
              <w:autoSpaceDN w:val="0"/>
              <w:adjustRightInd w:val="0"/>
              <w:jc w:val="center"/>
              <w:rPr>
                <w:rFonts w:eastAsia="DecimaWERg" w:cs="DecimaWERg"/>
                <w:sz w:val="24"/>
                <w:szCs w:val="24"/>
              </w:rPr>
            </w:pPr>
          </w:p>
        </w:tc>
        <w:tc>
          <w:tcPr>
            <w:tcW w:w="2331" w:type="dxa"/>
          </w:tcPr>
          <w:p w:rsidR="005446E8" w:rsidRPr="009951C8" w:rsidRDefault="005446E8" w:rsidP="00B517D4">
            <w:pPr>
              <w:jc w:val="center"/>
              <w:rPr>
                <w:sz w:val="24"/>
                <w:szCs w:val="24"/>
              </w:rPr>
            </w:pPr>
            <w:r w:rsidRPr="009951C8">
              <w:rPr>
                <w:rFonts w:eastAsia="DecimaWERg" w:cs="DecimaWERg"/>
                <w:sz w:val="24"/>
                <w:szCs w:val="24"/>
              </w:rPr>
              <w:sym w:font="Wingdings 2" w:char="F053"/>
            </w:r>
          </w:p>
        </w:tc>
        <w:tc>
          <w:tcPr>
            <w:tcW w:w="2268" w:type="dxa"/>
          </w:tcPr>
          <w:p w:rsidR="005446E8" w:rsidRPr="009951C8" w:rsidRDefault="005446E8" w:rsidP="00B517D4">
            <w:pPr>
              <w:autoSpaceDE w:val="0"/>
              <w:autoSpaceDN w:val="0"/>
              <w:adjustRightInd w:val="0"/>
              <w:jc w:val="center"/>
              <w:rPr>
                <w:rFonts w:eastAsia="DecimaWERg" w:cs="DecimaWERg"/>
                <w:sz w:val="24"/>
                <w:szCs w:val="24"/>
              </w:rPr>
            </w:pPr>
          </w:p>
        </w:tc>
      </w:tr>
    </w:tbl>
    <w:p w:rsidR="001B0622" w:rsidRDefault="001B0622" w:rsidP="00A34A2D">
      <w:pPr>
        <w:pStyle w:val="Default"/>
        <w:ind w:left="420" w:hanging="140"/>
        <w:jc w:val="both"/>
        <w:rPr>
          <w:rFonts w:asciiTheme="minorHAnsi" w:hAnsiTheme="minorHAnsi"/>
          <w:u w:val="single"/>
        </w:rPr>
      </w:pPr>
    </w:p>
    <w:p w:rsidR="009F5C24" w:rsidRDefault="009F5C24" w:rsidP="00A769CD">
      <w:pPr>
        <w:pStyle w:val="Default"/>
        <w:ind w:left="420" w:hanging="140"/>
        <w:jc w:val="both"/>
        <w:rPr>
          <w:rFonts w:asciiTheme="minorHAnsi" w:hAnsiTheme="minorHAnsi"/>
          <w:u w:val="single"/>
        </w:rPr>
      </w:pPr>
    </w:p>
    <w:p w:rsidR="005446E8" w:rsidRPr="009951C8" w:rsidRDefault="00BD464A" w:rsidP="00A34A2D">
      <w:pPr>
        <w:pStyle w:val="Default"/>
        <w:ind w:left="420" w:hanging="420"/>
        <w:jc w:val="both"/>
        <w:rPr>
          <w:rFonts w:asciiTheme="minorHAnsi" w:hAnsiTheme="minorHAnsi"/>
          <w:u w:val="single"/>
        </w:rPr>
      </w:pPr>
      <w:r>
        <w:rPr>
          <w:rFonts w:asciiTheme="minorHAnsi" w:hAnsiTheme="minorHAnsi"/>
          <w:u w:val="single"/>
        </w:rPr>
        <w:t>A</w:t>
      </w:r>
      <w:r w:rsidR="00E15FD1">
        <w:rPr>
          <w:rFonts w:asciiTheme="minorHAnsi" w:hAnsiTheme="minorHAnsi"/>
          <w:u w:val="single"/>
        </w:rPr>
        <w:t>NNUALE</w:t>
      </w:r>
    </w:p>
    <w:p w:rsidR="006C69CB" w:rsidRPr="006C69CB" w:rsidRDefault="006C69CB" w:rsidP="00A34A2D">
      <w:pPr>
        <w:spacing w:after="0" w:line="240" w:lineRule="auto"/>
        <w:jc w:val="both"/>
        <w:rPr>
          <w:rFonts w:cs="Times New Roman"/>
          <w:sz w:val="12"/>
          <w:szCs w:val="12"/>
        </w:rPr>
      </w:pPr>
    </w:p>
    <w:p w:rsidR="00954248" w:rsidRDefault="00A769CD" w:rsidP="00A34A2D">
      <w:pPr>
        <w:spacing w:after="0" w:line="240" w:lineRule="auto"/>
        <w:jc w:val="both"/>
        <w:rPr>
          <w:rFonts w:cs="Times New Roman"/>
          <w:sz w:val="24"/>
          <w:szCs w:val="24"/>
        </w:rPr>
      </w:pPr>
      <w:r w:rsidRPr="008F5D53">
        <w:rPr>
          <w:rFonts w:cs="Times New Roman"/>
          <w:sz w:val="24"/>
          <w:szCs w:val="24"/>
        </w:rPr>
        <w:t xml:space="preserve">Il controllo annuale è </w:t>
      </w:r>
      <w:r w:rsidR="00D4314D" w:rsidRPr="008F5D53">
        <w:rPr>
          <w:rFonts w:cs="Times New Roman"/>
          <w:sz w:val="24"/>
          <w:szCs w:val="24"/>
        </w:rPr>
        <w:t xml:space="preserve">stato </w:t>
      </w:r>
      <w:r w:rsidR="00D02F0A" w:rsidRPr="008F5D53">
        <w:rPr>
          <w:rFonts w:cs="Times New Roman"/>
          <w:sz w:val="24"/>
          <w:szCs w:val="24"/>
        </w:rPr>
        <w:t xml:space="preserve">realizzato attraverso la predisposizione del bilancio consuntivo </w:t>
      </w:r>
      <w:r w:rsidRPr="008F5D53">
        <w:rPr>
          <w:rFonts w:cs="Times New Roman"/>
          <w:sz w:val="24"/>
          <w:szCs w:val="24"/>
        </w:rPr>
        <w:t xml:space="preserve"> corredato dalla </w:t>
      </w:r>
      <w:r w:rsidR="00A70425" w:rsidRPr="008F5D53">
        <w:rPr>
          <w:rFonts w:cs="Times New Roman"/>
          <w:sz w:val="24"/>
          <w:szCs w:val="24"/>
        </w:rPr>
        <w:t xml:space="preserve">relazione sulla gestione </w:t>
      </w:r>
      <w:r w:rsidR="00954248" w:rsidRPr="008F5D53">
        <w:rPr>
          <w:rFonts w:cs="Times New Roman"/>
          <w:sz w:val="24"/>
          <w:szCs w:val="24"/>
        </w:rPr>
        <w:t xml:space="preserve">che </w:t>
      </w:r>
      <w:r w:rsidR="00A70425" w:rsidRPr="008F5D53">
        <w:rPr>
          <w:rFonts w:cs="Times New Roman"/>
          <w:sz w:val="24"/>
          <w:szCs w:val="24"/>
        </w:rPr>
        <w:t>esplicita, motiva e commenta i risultati rispetto agli obiettivi posti in sede di programmazione, con particolare riferimento agli investimenti, ai ricavi, ai co</w:t>
      </w:r>
      <w:r w:rsidR="00396658">
        <w:rPr>
          <w:rFonts w:cs="Times New Roman"/>
          <w:sz w:val="24"/>
          <w:szCs w:val="24"/>
        </w:rPr>
        <w:t>sti e agli oneri dell’esercizio</w:t>
      </w:r>
      <w:r w:rsidR="00D02F0A" w:rsidRPr="008F5D53">
        <w:rPr>
          <w:rFonts w:cs="Times New Roman"/>
          <w:sz w:val="24"/>
          <w:szCs w:val="24"/>
        </w:rPr>
        <w:t xml:space="preserve"> (delibera n. 1</w:t>
      </w:r>
      <w:r w:rsidR="00B30008">
        <w:rPr>
          <w:rFonts w:cs="Times New Roman"/>
          <w:sz w:val="24"/>
          <w:szCs w:val="24"/>
        </w:rPr>
        <w:t>08</w:t>
      </w:r>
      <w:r w:rsidR="00D02F0A" w:rsidRPr="008F5D53">
        <w:rPr>
          <w:rFonts w:cs="Times New Roman"/>
          <w:sz w:val="24"/>
          <w:szCs w:val="24"/>
        </w:rPr>
        <w:t xml:space="preserve"> del 0</w:t>
      </w:r>
      <w:r w:rsidR="00B30008">
        <w:rPr>
          <w:rFonts w:cs="Times New Roman"/>
          <w:sz w:val="24"/>
          <w:szCs w:val="24"/>
        </w:rPr>
        <w:t>3</w:t>
      </w:r>
      <w:r w:rsidR="00D02F0A" w:rsidRPr="008F5D53">
        <w:rPr>
          <w:rFonts w:cs="Times New Roman"/>
          <w:sz w:val="24"/>
          <w:szCs w:val="24"/>
        </w:rPr>
        <w:t>.0</w:t>
      </w:r>
      <w:r w:rsidR="00B30008">
        <w:rPr>
          <w:rFonts w:cs="Times New Roman"/>
          <w:sz w:val="24"/>
          <w:szCs w:val="24"/>
        </w:rPr>
        <w:t>5</w:t>
      </w:r>
      <w:r w:rsidR="00D02F0A" w:rsidRPr="008F5D53">
        <w:rPr>
          <w:rFonts w:cs="Times New Roman"/>
          <w:sz w:val="24"/>
          <w:szCs w:val="24"/>
        </w:rPr>
        <w:t>.201</w:t>
      </w:r>
      <w:r w:rsidR="00B30008">
        <w:rPr>
          <w:rFonts w:cs="Times New Roman"/>
          <w:sz w:val="24"/>
          <w:szCs w:val="24"/>
        </w:rPr>
        <w:t>6</w:t>
      </w:r>
      <w:r w:rsidR="00D02F0A" w:rsidRPr="008F5D53">
        <w:rPr>
          <w:rFonts w:cs="Times New Roman"/>
          <w:sz w:val="24"/>
          <w:szCs w:val="24"/>
        </w:rPr>
        <w:t>).</w:t>
      </w:r>
    </w:p>
    <w:p w:rsidR="00B30008" w:rsidRPr="008F5D53" w:rsidRDefault="00B30008" w:rsidP="00A34A2D">
      <w:pPr>
        <w:spacing w:after="0" w:line="240" w:lineRule="auto"/>
        <w:jc w:val="both"/>
        <w:rPr>
          <w:rFonts w:cs="Times New Roman"/>
          <w:sz w:val="24"/>
          <w:szCs w:val="24"/>
        </w:rPr>
      </w:pPr>
    </w:p>
    <w:p w:rsidR="00D70094" w:rsidRDefault="00D70094" w:rsidP="00A34A2D">
      <w:pPr>
        <w:autoSpaceDE w:val="0"/>
        <w:autoSpaceDN w:val="0"/>
        <w:adjustRightInd w:val="0"/>
        <w:spacing w:after="0" w:line="240" w:lineRule="auto"/>
        <w:jc w:val="both"/>
        <w:rPr>
          <w:rFonts w:cs="Times New Roman"/>
          <w:sz w:val="16"/>
          <w:szCs w:val="16"/>
        </w:rPr>
      </w:pPr>
    </w:p>
    <w:p w:rsidR="00E15FD1" w:rsidRDefault="00E15FD1" w:rsidP="00A34A2D">
      <w:pPr>
        <w:autoSpaceDE w:val="0"/>
        <w:autoSpaceDN w:val="0"/>
        <w:adjustRightInd w:val="0"/>
        <w:spacing w:after="0" w:line="240" w:lineRule="auto"/>
        <w:jc w:val="both"/>
        <w:rPr>
          <w:rFonts w:cs="Times New Roman"/>
          <w:sz w:val="24"/>
          <w:szCs w:val="24"/>
          <w:u w:val="single"/>
        </w:rPr>
      </w:pPr>
      <w:r w:rsidRPr="00E15FD1">
        <w:rPr>
          <w:rFonts w:cs="Times New Roman"/>
          <w:sz w:val="24"/>
          <w:szCs w:val="24"/>
          <w:u w:val="single"/>
        </w:rPr>
        <w:t>Sintesi dei risultati</w:t>
      </w:r>
      <w:r w:rsidR="006B0682">
        <w:rPr>
          <w:rFonts w:cs="Times New Roman"/>
          <w:sz w:val="24"/>
          <w:szCs w:val="24"/>
          <w:u w:val="single"/>
        </w:rPr>
        <w:t xml:space="preserve"> della programmazione anno 201</w:t>
      </w:r>
      <w:r w:rsidR="00204859">
        <w:rPr>
          <w:rFonts w:cs="Times New Roman"/>
          <w:sz w:val="24"/>
          <w:szCs w:val="24"/>
          <w:u w:val="single"/>
        </w:rPr>
        <w:t>5</w:t>
      </w:r>
    </w:p>
    <w:p w:rsidR="00292CEB" w:rsidRDefault="00292CEB" w:rsidP="00292CEB">
      <w:pPr>
        <w:spacing w:after="0" w:line="240" w:lineRule="auto"/>
        <w:jc w:val="both"/>
        <w:rPr>
          <w:rFonts w:cs="Times New Roman"/>
          <w:sz w:val="12"/>
          <w:szCs w:val="12"/>
          <w:u w:val="single"/>
        </w:rPr>
      </w:pPr>
    </w:p>
    <w:p w:rsidR="00292CEB" w:rsidRPr="00292CEB" w:rsidRDefault="00292CEB" w:rsidP="00C14FE3">
      <w:pPr>
        <w:autoSpaceDE w:val="0"/>
        <w:autoSpaceDN w:val="0"/>
        <w:adjustRightInd w:val="0"/>
        <w:spacing w:after="0" w:line="240" w:lineRule="auto"/>
        <w:jc w:val="both"/>
        <w:rPr>
          <w:rFonts w:cs="Times New Roman"/>
          <w:sz w:val="24"/>
          <w:szCs w:val="24"/>
        </w:rPr>
      </w:pPr>
      <w:r w:rsidRPr="00292CEB">
        <w:rPr>
          <w:rFonts w:cs="Times New Roman"/>
          <w:sz w:val="24"/>
          <w:szCs w:val="24"/>
        </w:rPr>
        <w:t>Il 2015 si è caratterizzato essenzialmente per il rinnovo della direzione generale, sanitaria ed amministrativa dell’Istituto e per l’adozione da parte della Regione FVG di provvedimenti definibili come conseguenti e applicativi dei contenuti della riforma approvata con la legge 17/2014.</w:t>
      </w:r>
    </w:p>
    <w:p w:rsidR="00292CEB" w:rsidRPr="00292CEB" w:rsidRDefault="00292CEB" w:rsidP="00C14FE3">
      <w:pPr>
        <w:autoSpaceDE w:val="0"/>
        <w:autoSpaceDN w:val="0"/>
        <w:adjustRightInd w:val="0"/>
        <w:spacing w:after="0" w:line="240" w:lineRule="auto"/>
        <w:jc w:val="both"/>
        <w:rPr>
          <w:rFonts w:cs="Times New Roman"/>
          <w:sz w:val="24"/>
          <w:szCs w:val="24"/>
        </w:rPr>
      </w:pPr>
      <w:r w:rsidRPr="00292CEB">
        <w:rPr>
          <w:rFonts w:cs="Times New Roman"/>
          <w:sz w:val="24"/>
          <w:szCs w:val="24"/>
        </w:rPr>
        <w:lastRenderedPageBreak/>
        <w:t>L’ultimo trimestre del 2015 ha visto la direzione dell’Istituto impegnata nella definizione e nella presentazione della proposta di Atto Aziendale che</w:t>
      </w:r>
      <w:r w:rsidR="00C14FE3">
        <w:rPr>
          <w:rFonts w:cs="Times New Roman"/>
          <w:sz w:val="24"/>
          <w:szCs w:val="24"/>
        </w:rPr>
        <w:t xml:space="preserve"> è stata approvata dalla Regione con decreto n. 193/SPS del 10.03.2016 e adottata dall’Istituto con deliberazione n. 52 del 22.03.2016. </w:t>
      </w:r>
    </w:p>
    <w:p w:rsidR="00292CEB" w:rsidRPr="00292CEB" w:rsidRDefault="00292CEB" w:rsidP="00C14FE3">
      <w:pPr>
        <w:autoSpaceDE w:val="0"/>
        <w:autoSpaceDN w:val="0"/>
        <w:adjustRightInd w:val="0"/>
        <w:spacing w:after="0" w:line="240" w:lineRule="auto"/>
        <w:jc w:val="both"/>
        <w:rPr>
          <w:rFonts w:cs="Times New Roman"/>
          <w:sz w:val="24"/>
          <w:szCs w:val="24"/>
        </w:rPr>
      </w:pPr>
      <w:r w:rsidRPr="00292CEB">
        <w:rPr>
          <w:rFonts w:cs="Times New Roman"/>
          <w:sz w:val="24"/>
          <w:szCs w:val="24"/>
        </w:rPr>
        <w:t>Si è proceduto con alcune assunzioni per eliminare una situazione critica, all’interno dei servizi amministrativi, che rischiava di rendere improduttiva l’operatività quotidiana.</w:t>
      </w:r>
    </w:p>
    <w:p w:rsidR="00292CEB" w:rsidRPr="00292CEB" w:rsidRDefault="00292CEB" w:rsidP="00C14FE3">
      <w:pPr>
        <w:autoSpaceDE w:val="0"/>
        <w:autoSpaceDN w:val="0"/>
        <w:adjustRightInd w:val="0"/>
        <w:spacing w:after="0" w:line="240" w:lineRule="auto"/>
        <w:jc w:val="both"/>
        <w:rPr>
          <w:rFonts w:cs="Times New Roman"/>
          <w:sz w:val="24"/>
          <w:szCs w:val="24"/>
        </w:rPr>
      </w:pPr>
      <w:r w:rsidRPr="00292CEB">
        <w:rPr>
          <w:rFonts w:cs="Times New Roman"/>
          <w:sz w:val="24"/>
          <w:szCs w:val="24"/>
        </w:rPr>
        <w:t>Sono state consolidate negli organici alcune strutture operative sanitarie anche attraverso la riorganizzazione di servizi.</w:t>
      </w:r>
    </w:p>
    <w:p w:rsidR="00292CEB" w:rsidRPr="00292CEB" w:rsidRDefault="00292CEB" w:rsidP="00C14FE3">
      <w:pPr>
        <w:autoSpaceDE w:val="0"/>
        <w:autoSpaceDN w:val="0"/>
        <w:adjustRightInd w:val="0"/>
        <w:spacing w:after="0" w:line="240" w:lineRule="auto"/>
        <w:jc w:val="both"/>
        <w:rPr>
          <w:rFonts w:cs="Times New Roman"/>
          <w:sz w:val="24"/>
          <w:szCs w:val="24"/>
        </w:rPr>
      </w:pPr>
      <w:r w:rsidRPr="00292CEB">
        <w:rPr>
          <w:rFonts w:cs="Times New Roman"/>
          <w:sz w:val="24"/>
          <w:szCs w:val="24"/>
        </w:rPr>
        <w:t xml:space="preserve">Anche nel 2015 il CRO è riuscito, nel suo complesso, a mantenere un adeguato volume di attività per i cittadini regionali ed extra-regionali. </w:t>
      </w:r>
    </w:p>
    <w:p w:rsidR="00292CEB" w:rsidRPr="00292CEB" w:rsidRDefault="00292CEB" w:rsidP="00C14FE3">
      <w:pPr>
        <w:autoSpaceDE w:val="0"/>
        <w:autoSpaceDN w:val="0"/>
        <w:adjustRightInd w:val="0"/>
        <w:spacing w:after="0" w:line="240" w:lineRule="auto"/>
        <w:jc w:val="both"/>
        <w:rPr>
          <w:rFonts w:cs="Times New Roman"/>
          <w:sz w:val="24"/>
          <w:szCs w:val="24"/>
        </w:rPr>
      </w:pPr>
      <w:r w:rsidRPr="00292CEB">
        <w:rPr>
          <w:rFonts w:cs="Times New Roman"/>
          <w:sz w:val="24"/>
          <w:szCs w:val="24"/>
        </w:rPr>
        <w:t xml:space="preserve">La qualità complessiva dell’Istituto, valutata costantemente da diversi soggetti internazionali per le diverse aree e globalmente da </w:t>
      </w:r>
      <w:proofErr w:type="spellStart"/>
      <w:r w:rsidRPr="00292CEB">
        <w:rPr>
          <w:rFonts w:cs="Times New Roman"/>
          <w:sz w:val="24"/>
          <w:szCs w:val="24"/>
        </w:rPr>
        <w:t>Accreditation</w:t>
      </w:r>
      <w:proofErr w:type="spellEnd"/>
      <w:r w:rsidRPr="00292CEB">
        <w:rPr>
          <w:rFonts w:cs="Times New Roman"/>
          <w:sz w:val="24"/>
          <w:szCs w:val="24"/>
        </w:rPr>
        <w:t xml:space="preserve"> Canada, è stata riconosciuta da OECI con l’attribuzione della certificazione di </w:t>
      </w:r>
      <w:proofErr w:type="spellStart"/>
      <w:r w:rsidRPr="00292CEB">
        <w:rPr>
          <w:rFonts w:cs="Times New Roman"/>
          <w:sz w:val="24"/>
          <w:szCs w:val="24"/>
        </w:rPr>
        <w:t>Comprehensive</w:t>
      </w:r>
      <w:proofErr w:type="spellEnd"/>
      <w:r w:rsidRPr="00292CEB">
        <w:rPr>
          <w:rFonts w:cs="Times New Roman"/>
          <w:sz w:val="24"/>
          <w:szCs w:val="24"/>
        </w:rPr>
        <w:t xml:space="preserve"> </w:t>
      </w:r>
      <w:proofErr w:type="spellStart"/>
      <w:r w:rsidRPr="00292CEB">
        <w:rPr>
          <w:rFonts w:cs="Times New Roman"/>
          <w:sz w:val="24"/>
          <w:szCs w:val="24"/>
        </w:rPr>
        <w:t>Cancer</w:t>
      </w:r>
      <w:proofErr w:type="spellEnd"/>
      <w:r w:rsidRPr="00292CEB">
        <w:rPr>
          <w:rFonts w:cs="Times New Roman"/>
          <w:sz w:val="24"/>
          <w:szCs w:val="24"/>
        </w:rPr>
        <w:t xml:space="preserve"> Center.</w:t>
      </w:r>
    </w:p>
    <w:p w:rsidR="00292CEB" w:rsidRPr="00292CEB" w:rsidRDefault="00292CEB" w:rsidP="00292CEB">
      <w:pPr>
        <w:spacing w:after="0" w:line="240" w:lineRule="auto"/>
        <w:jc w:val="both"/>
        <w:rPr>
          <w:sz w:val="24"/>
          <w:szCs w:val="24"/>
        </w:rPr>
      </w:pPr>
    </w:p>
    <w:p w:rsidR="00090374" w:rsidRPr="0077208B" w:rsidRDefault="00090374" w:rsidP="00292CEB">
      <w:pPr>
        <w:spacing w:after="0" w:line="240" w:lineRule="auto"/>
        <w:jc w:val="both"/>
        <w:rPr>
          <w:sz w:val="24"/>
          <w:szCs w:val="24"/>
        </w:rPr>
      </w:pPr>
      <w:r w:rsidRPr="0077208B">
        <w:rPr>
          <w:sz w:val="24"/>
          <w:szCs w:val="24"/>
        </w:rPr>
        <w:t>Sul versante scientifico l’Istituto ha sviluppato le linee di ricerca corrente 201</w:t>
      </w:r>
      <w:r w:rsidR="00B30008">
        <w:rPr>
          <w:sz w:val="24"/>
          <w:szCs w:val="24"/>
        </w:rPr>
        <w:t>5</w:t>
      </w:r>
      <w:r w:rsidRPr="0077208B">
        <w:rPr>
          <w:sz w:val="24"/>
          <w:szCs w:val="24"/>
        </w:rPr>
        <w:t xml:space="preserve"> in accordo con il Ministero della Salute secondo la progettualità riportata nel </w:t>
      </w:r>
      <w:proofErr w:type="spellStart"/>
      <w:r w:rsidRPr="0077208B">
        <w:rPr>
          <w:sz w:val="24"/>
          <w:szCs w:val="24"/>
        </w:rPr>
        <w:t>Workflow</w:t>
      </w:r>
      <w:proofErr w:type="spellEnd"/>
      <w:r w:rsidRPr="0077208B">
        <w:rPr>
          <w:sz w:val="24"/>
          <w:szCs w:val="24"/>
        </w:rPr>
        <w:t xml:space="preserve"> della Ricerca. </w:t>
      </w:r>
    </w:p>
    <w:p w:rsidR="00090374" w:rsidRPr="0077208B" w:rsidRDefault="00090374" w:rsidP="00A34A2D">
      <w:pPr>
        <w:spacing w:after="0" w:line="240" w:lineRule="auto"/>
        <w:jc w:val="both"/>
        <w:rPr>
          <w:sz w:val="24"/>
          <w:szCs w:val="24"/>
        </w:rPr>
      </w:pPr>
      <w:r w:rsidRPr="0077208B">
        <w:rPr>
          <w:sz w:val="24"/>
          <w:szCs w:val="24"/>
        </w:rPr>
        <w:t>Il programma clinico e di ricerca ha dimostrato una buona qualità scientifica generale, con potenziale eccellenza in alcune aree specifiche, tra le quali la patogenesi e trattamento delle malattie ematologiche, dei tumori correlati a infezioni e dei tumori nell’anziano.</w:t>
      </w:r>
    </w:p>
    <w:p w:rsidR="00090374" w:rsidRPr="0077208B" w:rsidRDefault="00090374" w:rsidP="00A34A2D">
      <w:pPr>
        <w:spacing w:after="0" w:line="240" w:lineRule="auto"/>
        <w:jc w:val="both"/>
        <w:rPr>
          <w:sz w:val="24"/>
          <w:szCs w:val="24"/>
        </w:rPr>
      </w:pPr>
      <w:r w:rsidRPr="0077208B">
        <w:rPr>
          <w:sz w:val="24"/>
          <w:szCs w:val="24"/>
        </w:rPr>
        <w:t xml:space="preserve">L’organizzazione del programma generale in linee di ricerca distinte ha rappresentato un valido sforzo verso un affinamento degli obiettivi, l’identificazione di aree di potenziale sinergia e lo sviluppo della ricerca </w:t>
      </w:r>
      <w:proofErr w:type="spellStart"/>
      <w:r w:rsidRPr="0077208B">
        <w:rPr>
          <w:sz w:val="24"/>
          <w:szCs w:val="24"/>
        </w:rPr>
        <w:t>traslazionale</w:t>
      </w:r>
      <w:proofErr w:type="spellEnd"/>
      <w:r w:rsidRPr="0077208B">
        <w:rPr>
          <w:sz w:val="24"/>
          <w:szCs w:val="24"/>
        </w:rPr>
        <w:t>. L’attenzione, al fine di migliorare l’impatto dell’Istituto nella ricerca in oncologia, sia clinica sia di base, e determinare un migliore utilizzo del talento dei suoi ricercatori è stata posta soprattutto per la gestione dei seguenti punti critici:</w:t>
      </w:r>
    </w:p>
    <w:p w:rsidR="00090374" w:rsidRPr="0077208B" w:rsidRDefault="00B30008" w:rsidP="008A29F1">
      <w:pPr>
        <w:numPr>
          <w:ilvl w:val="0"/>
          <w:numId w:val="9"/>
        </w:numPr>
        <w:tabs>
          <w:tab w:val="clear" w:pos="720"/>
          <w:tab w:val="num" w:pos="284"/>
        </w:tabs>
        <w:spacing w:after="0" w:line="240" w:lineRule="auto"/>
        <w:ind w:left="284" w:hanging="284"/>
        <w:jc w:val="both"/>
        <w:rPr>
          <w:sz w:val="24"/>
          <w:szCs w:val="24"/>
        </w:rPr>
      </w:pPr>
      <w:r>
        <w:rPr>
          <w:sz w:val="24"/>
          <w:szCs w:val="24"/>
        </w:rPr>
        <w:t>Rafforzamento della partecipazione ai programmi di rete di Alleanza Contro il Cancro, in particolare della medicina personalizzata</w:t>
      </w:r>
      <w:r w:rsidR="00090374" w:rsidRPr="0077208B">
        <w:rPr>
          <w:sz w:val="24"/>
          <w:szCs w:val="24"/>
        </w:rPr>
        <w:t>;</w:t>
      </w:r>
    </w:p>
    <w:p w:rsidR="00090374" w:rsidRPr="0077208B" w:rsidRDefault="00090374" w:rsidP="008A29F1">
      <w:pPr>
        <w:numPr>
          <w:ilvl w:val="0"/>
          <w:numId w:val="9"/>
        </w:numPr>
        <w:tabs>
          <w:tab w:val="clear" w:pos="720"/>
          <w:tab w:val="num" w:pos="284"/>
        </w:tabs>
        <w:spacing w:after="0" w:line="240" w:lineRule="auto"/>
        <w:ind w:left="284" w:hanging="284"/>
        <w:jc w:val="both"/>
        <w:rPr>
          <w:sz w:val="24"/>
          <w:szCs w:val="24"/>
        </w:rPr>
      </w:pPr>
      <w:r w:rsidRPr="0077208B">
        <w:rPr>
          <w:sz w:val="24"/>
          <w:szCs w:val="24"/>
        </w:rPr>
        <w:t xml:space="preserve">Incremento di programmi di ricerca clinica e </w:t>
      </w:r>
      <w:proofErr w:type="spellStart"/>
      <w:r w:rsidRPr="0077208B">
        <w:rPr>
          <w:sz w:val="24"/>
          <w:szCs w:val="24"/>
        </w:rPr>
        <w:t>traslazionale</w:t>
      </w:r>
      <w:proofErr w:type="spellEnd"/>
      <w:r w:rsidRPr="0077208B">
        <w:rPr>
          <w:sz w:val="24"/>
          <w:szCs w:val="24"/>
        </w:rPr>
        <w:t xml:space="preserve"> ideati e coordinati da ricercatori CRO;</w:t>
      </w:r>
    </w:p>
    <w:p w:rsidR="00090374" w:rsidRPr="0077208B" w:rsidRDefault="00090374" w:rsidP="008A29F1">
      <w:pPr>
        <w:numPr>
          <w:ilvl w:val="0"/>
          <w:numId w:val="9"/>
        </w:numPr>
        <w:tabs>
          <w:tab w:val="clear" w:pos="720"/>
          <w:tab w:val="num" w:pos="284"/>
        </w:tabs>
        <w:spacing w:after="0" w:line="240" w:lineRule="auto"/>
        <w:ind w:left="284" w:hanging="284"/>
        <w:jc w:val="both"/>
        <w:rPr>
          <w:sz w:val="24"/>
          <w:szCs w:val="24"/>
        </w:rPr>
      </w:pPr>
      <w:r w:rsidRPr="0077208B">
        <w:rPr>
          <w:sz w:val="24"/>
          <w:szCs w:val="24"/>
        </w:rPr>
        <w:t xml:space="preserve">Sviluppo </w:t>
      </w:r>
      <w:r w:rsidR="00B30008">
        <w:rPr>
          <w:sz w:val="24"/>
          <w:szCs w:val="24"/>
        </w:rPr>
        <w:t xml:space="preserve">meccanismi di supporto della ricerca </w:t>
      </w:r>
      <w:proofErr w:type="spellStart"/>
      <w:r w:rsidR="00B30008">
        <w:rPr>
          <w:sz w:val="24"/>
          <w:szCs w:val="24"/>
        </w:rPr>
        <w:t>traslazionale</w:t>
      </w:r>
      <w:proofErr w:type="spellEnd"/>
      <w:r w:rsidR="00B30008">
        <w:rPr>
          <w:sz w:val="24"/>
          <w:szCs w:val="24"/>
        </w:rPr>
        <w:t>, in particolare infrastrutture per la ricerca;</w:t>
      </w:r>
    </w:p>
    <w:p w:rsidR="00090374" w:rsidRPr="0077208B" w:rsidRDefault="00B30008" w:rsidP="008A29F1">
      <w:pPr>
        <w:numPr>
          <w:ilvl w:val="0"/>
          <w:numId w:val="9"/>
        </w:numPr>
        <w:tabs>
          <w:tab w:val="clear" w:pos="720"/>
          <w:tab w:val="num" w:pos="284"/>
        </w:tabs>
        <w:spacing w:after="0" w:line="240" w:lineRule="auto"/>
        <w:ind w:left="284" w:hanging="284"/>
        <w:jc w:val="both"/>
        <w:rPr>
          <w:sz w:val="24"/>
          <w:szCs w:val="24"/>
        </w:rPr>
      </w:pPr>
      <w:r>
        <w:rPr>
          <w:sz w:val="24"/>
          <w:szCs w:val="24"/>
        </w:rPr>
        <w:t xml:space="preserve">Incremento programmi di ricerca clinica e </w:t>
      </w:r>
      <w:proofErr w:type="spellStart"/>
      <w:r>
        <w:rPr>
          <w:sz w:val="24"/>
          <w:szCs w:val="24"/>
        </w:rPr>
        <w:t>traslazionale</w:t>
      </w:r>
      <w:proofErr w:type="spellEnd"/>
      <w:r>
        <w:rPr>
          <w:sz w:val="24"/>
          <w:szCs w:val="24"/>
        </w:rPr>
        <w:t xml:space="preserve"> ideati e coordinati da ricercatori  CRO</w:t>
      </w:r>
      <w:r w:rsidR="00090374" w:rsidRPr="0077208B">
        <w:rPr>
          <w:sz w:val="24"/>
          <w:szCs w:val="24"/>
        </w:rPr>
        <w:t>;</w:t>
      </w:r>
    </w:p>
    <w:p w:rsidR="00090374" w:rsidRDefault="00B30008" w:rsidP="008A29F1">
      <w:pPr>
        <w:numPr>
          <w:ilvl w:val="0"/>
          <w:numId w:val="9"/>
        </w:numPr>
        <w:tabs>
          <w:tab w:val="clear" w:pos="720"/>
          <w:tab w:val="num" w:pos="284"/>
        </w:tabs>
        <w:spacing w:after="0" w:line="240" w:lineRule="auto"/>
        <w:ind w:left="284" w:hanging="284"/>
        <w:jc w:val="both"/>
        <w:rPr>
          <w:sz w:val="24"/>
          <w:szCs w:val="24"/>
        </w:rPr>
      </w:pPr>
      <w:r>
        <w:rPr>
          <w:sz w:val="24"/>
          <w:szCs w:val="24"/>
        </w:rPr>
        <w:t>Sviluppo del progetto di “Medicina personali</w:t>
      </w:r>
      <w:r w:rsidR="00D05E5D">
        <w:rPr>
          <w:sz w:val="24"/>
          <w:szCs w:val="24"/>
        </w:rPr>
        <w:t>zzata” e diagnostica precoce av</w:t>
      </w:r>
      <w:r>
        <w:rPr>
          <w:sz w:val="24"/>
          <w:szCs w:val="24"/>
        </w:rPr>
        <w:t>anzata</w:t>
      </w:r>
      <w:r w:rsidR="00090374" w:rsidRPr="0077208B">
        <w:rPr>
          <w:sz w:val="24"/>
          <w:szCs w:val="24"/>
        </w:rPr>
        <w:t>;</w:t>
      </w:r>
    </w:p>
    <w:p w:rsidR="00B30008" w:rsidRDefault="00B30008" w:rsidP="008A29F1">
      <w:pPr>
        <w:numPr>
          <w:ilvl w:val="0"/>
          <w:numId w:val="9"/>
        </w:numPr>
        <w:tabs>
          <w:tab w:val="clear" w:pos="720"/>
          <w:tab w:val="num" w:pos="284"/>
        </w:tabs>
        <w:spacing w:after="0" w:line="240" w:lineRule="auto"/>
        <w:ind w:left="284" w:hanging="284"/>
        <w:jc w:val="both"/>
        <w:rPr>
          <w:sz w:val="24"/>
          <w:szCs w:val="24"/>
        </w:rPr>
      </w:pPr>
      <w:r>
        <w:rPr>
          <w:sz w:val="24"/>
          <w:szCs w:val="24"/>
        </w:rPr>
        <w:t>Sviluppo ulteriore del programma di internazionalizzazione dell’Istituto;</w:t>
      </w:r>
    </w:p>
    <w:p w:rsidR="00090374" w:rsidRPr="0077208B" w:rsidRDefault="00090374" w:rsidP="008A29F1">
      <w:pPr>
        <w:numPr>
          <w:ilvl w:val="0"/>
          <w:numId w:val="9"/>
        </w:numPr>
        <w:tabs>
          <w:tab w:val="clear" w:pos="720"/>
          <w:tab w:val="num" w:pos="284"/>
        </w:tabs>
        <w:spacing w:after="0" w:line="240" w:lineRule="auto"/>
        <w:ind w:left="284" w:hanging="284"/>
        <w:jc w:val="both"/>
        <w:rPr>
          <w:sz w:val="24"/>
          <w:szCs w:val="24"/>
        </w:rPr>
      </w:pPr>
      <w:r w:rsidRPr="0077208B">
        <w:rPr>
          <w:sz w:val="24"/>
          <w:szCs w:val="24"/>
        </w:rPr>
        <w:t>Sviluppo di strategie per mantenere il finanziamento della ricerca.</w:t>
      </w:r>
    </w:p>
    <w:p w:rsidR="00090374" w:rsidRPr="00A81BB4" w:rsidRDefault="00090374" w:rsidP="004731B5">
      <w:pPr>
        <w:ind w:right="-82"/>
        <w:rPr>
          <w:rFonts w:cs="Times New Roman"/>
          <w:sz w:val="16"/>
          <w:szCs w:val="16"/>
        </w:rPr>
      </w:pPr>
    </w:p>
    <w:p w:rsidR="004470CB" w:rsidRPr="007A0D39" w:rsidRDefault="004470CB" w:rsidP="00A34A2D">
      <w:pPr>
        <w:spacing w:after="0" w:line="240" w:lineRule="auto"/>
        <w:jc w:val="both"/>
        <w:rPr>
          <w:b/>
          <w:sz w:val="24"/>
          <w:szCs w:val="24"/>
        </w:rPr>
      </w:pPr>
      <w:r w:rsidRPr="007A0D39">
        <w:rPr>
          <w:b/>
          <w:sz w:val="24"/>
          <w:szCs w:val="24"/>
        </w:rPr>
        <w:t>Di seguito si riportano i</w:t>
      </w:r>
      <w:r w:rsidR="00D9662C" w:rsidRPr="007A0D39">
        <w:rPr>
          <w:b/>
          <w:sz w:val="24"/>
          <w:szCs w:val="24"/>
        </w:rPr>
        <w:t>l monitoraggio dell</w:t>
      </w:r>
      <w:r w:rsidR="005C0A33" w:rsidRPr="007A0D39">
        <w:rPr>
          <w:b/>
          <w:sz w:val="24"/>
          <w:szCs w:val="24"/>
        </w:rPr>
        <w:t>a programmazione annuale 201</w:t>
      </w:r>
      <w:r w:rsidR="005325AC" w:rsidRPr="007A0D39">
        <w:rPr>
          <w:b/>
          <w:sz w:val="24"/>
          <w:szCs w:val="24"/>
        </w:rPr>
        <w:t xml:space="preserve">5 </w:t>
      </w:r>
      <w:r w:rsidR="005C0A33" w:rsidRPr="007A0D39">
        <w:rPr>
          <w:b/>
          <w:sz w:val="24"/>
          <w:szCs w:val="24"/>
        </w:rPr>
        <w:t xml:space="preserve">(linee progettuali </w:t>
      </w:r>
      <w:r w:rsidR="0077208B" w:rsidRPr="007A0D39">
        <w:rPr>
          <w:b/>
          <w:sz w:val="24"/>
          <w:szCs w:val="24"/>
        </w:rPr>
        <w:t xml:space="preserve">e </w:t>
      </w:r>
      <w:r w:rsidR="005C0A33" w:rsidRPr="007A0D39">
        <w:rPr>
          <w:b/>
          <w:sz w:val="24"/>
          <w:szCs w:val="24"/>
        </w:rPr>
        <w:t>obiettivi strategici contenuti nel patto del DG) ed</w:t>
      </w:r>
      <w:r w:rsidR="00D9662C" w:rsidRPr="007A0D39">
        <w:rPr>
          <w:b/>
          <w:sz w:val="24"/>
          <w:szCs w:val="24"/>
        </w:rPr>
        <w:t xml:space="preserve"> i</w:t>
      </w:r>
      <w:r w:rsidRPr="007A0D39">
        <w:rPr>
          <w:b/>
          <w:sz w:val="24"/>
          <w:szCs w:val="24"/>
        </w:rPr>
        <w:t xml:space="preserve"> dati relativi all’attività e alle principali voci di </w:t>
      </w:r>
      <w:r w:rsidRPr="000F3A97">
        <w:rPr>
          <w:b/>
          <w:sz w:val="24"/>
          <w:szCs w:val="24"/>
        </w:rPr>
        <w:t>costo degli anni 201</w:t>
      </w:r>
      <w:r w:rsidR="000F3A97" w:rsidRPr="000F3A97">
        <w:rPr>
          <w:b/>
          <w:sz w:val="24"/>
          <w:szCs w:val="24"/>
        </w:rPr>
        <w:t>4</w:t>
      </w:r>
      <w:r w:rsidRPr="000F3A97">
        <w:rPr>
          <w:b/>
          <w:sz w:val="24"/>
          <w:szCs w:val="24"/>
        </w:rPr>
        <w:t>-201</w:t>
      </w:r>
      <w:r w:rsidR="000F3A97" w:rsidRPr="000F3A97">
        <w:rPr>
          <w:b/>
          <w:sz w:val="24"/>
          <w:szCs w:val="24"/>
        </w:rPr>
        <w:t>5</w:t>
      </w:r>
      <w:r w:rsidRPr="000F3A97">
        <w:rPr>
          <w:b/>
          <w:sz w:val="24"/>
          <w:szCs w:val="24"/>
        </w:rPr>
        <w:t>:</w:t>
      </w:r>
    </w:p>
    <w:p w:rsidR="00A34A2D" w:rsidRPr="007A0D39" w:rsidRDefault="00A34A2D" w:rsidP="00A34A2D">
      <w:pPr>
        <w:spacing w:after="0" w:line="240" w:lineRule="auto"/>
        <w:jc w:val="both"/>
        <w:rPr>
          <w:b/>
          <w:sz w:val="8"/>
          <w:szCs w:val="8"/>
        </w:rPr>
      </w:pPr>
    </w:p>
    <w:p w:rsidR="008A29F1" w:rsidRPr="007A0D39" w:rsidRDefault="008A29F1" w:rsidP="00A34A2D">
      <w:pPr>
        <w:pStyle w:val="Paragrafoelenco"/>
        <w:autoSpaceDE w:val="0"/>
        <w:autoSpaceDN w:val="0"/>
        <w:adjustRightInd w:val="0"/>
        <w:spacing w:after="0" w:line="240" w:lineRule="auto"/>
        <w:ind w:left="0"/>
        <w:contextualSpacing w:val="0"/>
        <w:jc w:val="both"/>
        <w:rPr>
          <w:rFonts w:cs="Times New Roman"/>
          <w:b/>
        </w:rPr>
      </w:pPr>
      <w:bookmarkStart w:id="1" w:name="_Toc248725782"/>
      <w:bookmarkStart w:id="2" w:name="_Toc248813883"/>
    </w:p>
    <w:p w:rsidR="00A143DB" w:rsidRPr="007A0D39" w:rsidRDefault="00A143DB" w:rsidP="007A0D39">
      <w:pPr>
        <w:pStyle w:val="Paragrafoelenco"/>
        <w:numPr>
          <w:ilvl w:val="0"/>
          <w:numId w:val="33"/>
        </w:numPr>
        <w:autoSpaceDE w:val="0"/>
        <w:autoSpaceDN w:val="0"/>
        <w:adjustRightInd w:val="0"/>
        <w:spacing w:after="0" w:line="240" w:lineRule="auto"/>
        <w:contextualSpacing w:val="0"/>
        <w:jc w:val="both"/>
        <w:rPr>
          <w:rFonts w:cs="Times New Roman"/>
          <w:b/>
        </w:rPr>
      </w:pPr>
      <w:r w:rsidRPr="007A0D39">
        <w:rPr>
          <w:rFonts w:cs="Times New Roman"/>
          <w:b/>
        </w:rPr>
        <w:t>Monitoraggio della programmazione a</w:t>
      </w:r>
      <w:bookmarkEnd w:id="1"/>
      <w:bookmarkEnd w:id="2"/>
      <w:r w:rsidRPr="007A0D39">
        <w:rPr>
          <w:rFonts w:cs="Times New Roman"/>
          <w:b/>
        </w:rPr>
        <w:t>nnuale 201</w:t>
      </w:r>
      <w:r w:rsidR="005325AC" w:rsidRPr="007A0D39">
        <w:rPr>
          <w:rFonts w:cs="Times New Roman"/>
          <w:b/>
        </w:rPr>
        <w:t>5</w:t>
      </w:r>
    </w:p>
    <w:p w:rsidR="005325AC" w:rsidRPr="000C3D13" w:rsidRDefault="005325AC" w:rsidP="005325AC">
      <w:pPr>
        <w:rPr>
          <w:rFonts w:cs="DecimaWE Rg"/>
          <w:b/>
          <w:bCs/>
          <w:sz w:val="2"/>
          <w:szCs w:val="2"/>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3"/>
        <w:gridCol w:w="5321"/>
      </w:tblGrid>
      <w:tr w:rsidR="005325AC" w:rsidRPr="0030525A" w:rsidTr="000D30D1">
        <w:trPr>
          <w:jc w:val="center"/>
        </w:trPr>
        <w:tc>
          <w:tcPr>
            <w:tcW w:w="9854" w:type="dxa"/>
            <w:gridSpan w:val="2"/>
            <w:tcBorders>
              <w:top w:val="single" w:sz="4" w:space="0" w:color="auto"/>
              <w:left w:val="single" w:sz="4" w:space="0" w:color="auto"/>
              <w:bottom w:val="single" w:sz="4" w:space="0" w:color="auto"/>
              <w:right w:val="single" w:sz="4" w:space="0" w:color="auto"/>
            </w:tcBorders>
          </w:tcPr>
          <w:p w:rsidR="005325AC" w:rsidRPr="0030525A" w:rsidRDefault="005325AC" w:rsidP="000D30D1">
            <w:pPr>
              <w:jc w:val="both"/>
              <w:outlineLvl w:val="0"/>
            </w:pPr>
            <w:r w:rsidRPr="0030525A">
              <w:rPr>
                <w:rFonts w:cs="DecimaWE Rg"/>
                <w:b/>
                <w:bCs/>
              </w:rPr>
              <w:t xml:space="preserve">Linea </w:t>
            </w:r>
            <w:r w:rsidRPr="0030525A">
              <w:rPr>
                <w:rFonts w:cs="DecimaWERg"/>
                <w:b/>
              </w:rPr>
              <w:t>progettuale</w:t>
            </w:r>
            <w:r w:rsidRPr="0030525A">
              <w:rPr>
                <w:rFonts w:cs="DecimaWE Rg"/>
                <w:b/>
                <w:bCs/>
              </w:rPr>
              <w:t xml:space="preserve"> n. 3.1.1 Nuovi atti aziendali </w:t>
            </w:r>
          </w:p>
        </w:tc>
      </w:tr>
      <w:tr w:rsidR="005325AC" w:rsidRPr="0030525A" w:rsidTr="000D30D1">
        <w:trPr>
          <w:trHeight w:val="809"/>
          <w:jc w:val="center"/>
        </w:trPr>
        <w:tc>
          <w:tcPr>
            <w:tcW w:w="4533" w:type="dxa"/>
            <w:tcBorders>
              <w:top w:val="single" w:sz="4" w:space="0" w:color="auto"/>
              <w:left w:val="single" w:sz="4" w:space="0" w:color="auto"/>
              <w:bottom w:val="single" w:sz="4" w:space="0" w:color="auto"/>
              <w:right w:val="single" w:sz="4" w:space="0" w:color="auto"/>
            </w:tcBorders>
            <w:shd w:val="clear" w:color="auto" w:fill="E0E0E0"/>
          </w:tcPr>
          <w:p w:rsidR="005325AC" w:rsidRPr="003A3593" w:rsidRDefault="005325AC" w:rsidP="000D30D1">
            <w:pPr>
              <w:rPr>
                <w:b/>
              </w:rPr>
            </w:pPr>
            <w:r w:rsidRPr="003A3593">
              <w:rPr>
                <w:b/>
              </w:rPr>
              <w:t>Obiettivo aziendale</w:t>
            </w:r>
          </w:p>
          <w:p w:rsidR="005325AC" w:rsidRPr="0030525A" w:rsidRDefault="005325AC" w:rsidP="000D30D1">
            <w:pPr>
              <w:pStyle w:val="Paragrafoelenco10"/>
              <w:spacing w:line="240" w:lineRule="auto"/>
              <w:ind w:left="0"/>
              <w:jc w:val="both"/>
              <w:rPr>
                <w:rFonts w:asciiTheme="minorHAnsi" w:hAnsiTheme="minorHAnsi"/>
              </w:rPr>
            </w:pPr>
            <w:r w:rsidRPr="0030525A">
              <w:rPr>
                <w:rFonts w:asciiTheme="minorHAnsi" w:hAnsiTheme="minorHAnsi" w:cs="DecimaWE Rg"/>
              </w:rPr>
              <w:t xml:space="preserve">Predisposizione proposta nuovo atto aziendale secondo i principi e criteri deliberati dalla Giunta regionale.  </w:t>
            </w:r>
          </w:p>
        </w:tc>
        <w:tc>
          <w:tcPr>
            <w:tcW w:w="5321" w:type="dxa"/>
            <w:tcBorders>
              <w:top w:val="single" w:sz="4" w:space="0" w:color="auto"/>
              <w:left w:val="single" w:sz="4" w:space="0" w:color="auto"/>
              <w:bottom w:val="single" w:sz="4" w:space="0" w:color="auto"/>
              <w:right w:val="single" w:sz="4" w:space="0" w:color="auto"/>
            </w:tcBorders>
            <w:shd w:val="clear" w:color="auto" w:fill="E0E0E0"/>
          </w:tcPr>
          <w:p w:rsidR="005325AC" w:rsidRPr="003A3593" w:rsidRDefault="005325AC" w:rsidP="000D30D1">
            <w:pPr>
              <w:jc w:val="both"/>
              <w:rPr>
                <w:b/>
              </w:rPr>
            </w:pPr>
            <w:r w:rsidRPr="003A3593">
              <w:rPr>
                <w:b/>
              </w:rPr>
              <w:t>Risultat</w:t>
            </w:r>
            <w:r>
              <w:rPr>
                <w:b/>
              </w:rPr>
              <w:t>o atteso</w:t>
            </w:r>
          </w:p>
          <w:p w:rsidR="005325AC" w:rsidRPr="00227DC3" w:rsidRDefault="005325AC" w:rsidP="000D30D1">
            <w:pPr>
              <w:pStyle w:val="Paragrafoelenco"/>
              <w:spacing w:after="0" w:line="240" w:lineRule="auto"/>
              <w:ind w:left="230"/>
              <w:jc w:val="both"/>
            </w:pPr>
            <w:r w:rsidRPr="00227DC3">
              <w:t>Proposta di nuovo atto aziendale, coerente con i principi e criteri regionali, predisposta ed inoltrata alla DCS entro il 30.06.2015, e comunque a seguito della deliberazione dei “Principi e criteri per l’adozione dell’Atto aziendale” da parte della Giunta regionale.</w:t>
            </w:r>
          </w:p>
        </w:tc>
      </w:tr>
      <w:tr w:rsidR="005325AC" w:rsidRPr="0030525A" w:rsidTr="000D30D1">
        <w:trPr>
          <w:jc w:val="center"/>
        </w:trPr>
        <w:tc>
          <w:tcPr>
            <w:tcW w:w="985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325AC" w:rsidRPr="003006A5" w:rsidRDefault="005325AC" w:rsidP="000D30D1">
            <w:pPr>
              <w:jc w:val="both"/>
              <w:outlineLvl w:val="0"/>
              <w:rPr>
                <w:rFonts w:eastAsia="MS Mincho" w:cs="Calibri"/>
                <w:b/>
              </w:rPr>
            </w:pPr>
            <w:r>
              <w:rPr>
                <w:rFonts w:eastAsia="MS Mincho" w:cs="Calibri"/>
                <w:b/>
              </w:rPr>
              <w:lastRenderedPageBreak/>
              <w:t>Attuazione al 31.12.2015</w:t>
            </w:r>
          </w:p>
          <w:p w:rsidR="005325AC" w:rsidRPr="003006A5" w:rsidRDefault="005325AC" w:rsidP="000D30D1">
            <w:pPr>
              <w:jc w:val="both"/>
              <w:outlineLvl w:val="0"/>
              <w:rPr>
                <w:rFonts w:eastAsia="MS Mincho" w:cs="Calibri"/>
              </w:rPr>
            </w:pPr>
            <w:r>
              <w:rPr>
                <w:rFonts w:eastAsia="MS Mincho" w:cs="Calibri"/>
                <w:bCs/>
              </w:rPr>
              <w:t>C</w:t>
            </w:r>
            <w:r w:rsidRPr="003006A5">
              <w:rPr>
                <w:rFonts w:eastAsia="MS Mincho" w:cs="Calibri"/>
                <w:bCs/>
              </w:rPr>
              <w:t xml:space="preserve">on </w:t>
            </w:r>
            <w:r>
              <w:rPr>
                <w:rFonts w:eastAsia="MS Mincho" w:cs="Calibri"/>
                <w:bCs/>
              </w:rPr>
              <w:t xml:space="preserve">nota </w:t>
            </w:r>
            <w:proofErr w:type="spellStart"/>
            <w:r>
              <w:rPr>
                <w:rFonts w:eastAsia="MS Mincho" w:cs="Calibri"/>
                <w:bCs/>
              </w:rPr>
              <w:t>prot</w:t>
            </w:r>
            <w:proofErr w:type="spellEnd"/>
            <w:r>
              <w:rPr>
                <w:rFonts w:eastAsia="MS Mincho" w:cs="Calibri"/>
                <w:bCs/>
              </w:rPr>
              <w:t xml:space="preserve">. SP/2015/M/431 del 30.09.2015 la Regione ha prorogato </w:t>
            </w:r>
            <w:r w:rsidRPr="003006A5">
              <w:rPr>
                <w:rFonts w:eastAsia="MS Mincho" w:cs="Calibri"/>
                <w:bCs/>
              </w:rPr>
              <w:t>al 30</w:t>
            </w:r>
            <w:r>
              <w:rPr>
                <w:rFonts w:eastAsia="MS Mincho" w:cs="Calibri"/>
                <w:bCs/>
              </w:rPr>
              <w:t>.10.2015</w:t>
            </w:r>
            <w:r w:rsidRPr="003006A5">
              <w:rPr>
                <w:rFonts w:eastAsia="MS Mincho" w:cs="Calibri"/>
                <w:bCs/>
              </w:rPr>
              <w:t xml:space="preserve"> la scadenza </w:t>
            </w:r>
            <w:r>
              <w:rPr>
                <w:rFonts w:eastAsia="MS Mincho" w:cs="Calibri"/>
                <w:bCs/>
              </w:rPr>
              <w:t xml:space="preserve">per l’invio della proposta di atto aziendale. L’Istituto ha trasmesso la proposta con nota </w:t>
            </w:r>
            <w:proofErr w:type="spellStart"/>
            <w:r>
              <w:rPr>
                <w:rFonts w:eastAsia="MS Mincho" w:cs="Calibri"/>
                <w:bCs/>
              </w:rPr>
              <w:t>prot</w:t>
            </w:r>
            <w:proofErr w:type="spellEnd"/>
            <w:r>
              <w:rPr>
                <w:rFonts w:eastAsia="MS Mincho" w:cs="Calibri"/>
                <w:bCs/>
              </w:rPr>
              <w:t>. 18081/DG del 30.10.2015.</w:t>
            </w:r>
          </w:p>
        </w:tc>
      </w:tr>
      <w:tr w:rsidR="005325AC" w:rsidRPr="0030525A" w:rsidTr="000D30D1">
        <w:trPr>
          <w:jc w:val="center"/>
        </w:trPr>
        <w:tc>
          <w:tcPr>
            <w:tcW w:w="9854" w:type="dxa"/>
            <w:gridSpan w:val="2"/>
            <w:tcBorders>
              <w:top w:val="single" w:sz="4" w:space="0" w:color="auto"/>
              <w:left w:val="single" w:sz="4" w:space="0" w:color="auto"/>
              <w:bottom w:val="single" w:sz="4" w:space="0" w:color="auto"/>
              <w:right w:val="single" w:sz="4" w:space="0" w:color="auto"/>
            </w:tcBorders>
          </w:tcPr>
          <w:p w:rsidR="005325AC" w:rsidRPr="0030525A" w:rsidRDefault="005325AC" w:rsidP="000D30D1">
            <w:pPr>
              <w:jc w:val="both"/>
              <w:outlineLvl w:val="0"/>
            </w:pPr>
            <w:r w:rsidRPr="0030525A">
              <w:rPr>
                <w:rFonts w:cs="DecimaWE Rg"/>
                <w:b/>
                <w:bCs/>
              </w:rPr>
              <w:t xml:space="preserve">Linea </w:t>
            </w:r>
            <w:r w:rsidRPr="0030525A">
              <w:rPr>
                <w:rFonts w:cs="DecimaWERg"/>
                <w:b/>
              </w:rPr>
              <w:t>progettuale</w:t>
            </w:r>
            <w:r w:rsidRPr="0030525A">
              <w:rPr>
                <w:rFonts w:cs="DecimaWE Rg"/>
                <w:b/>
                <w:bCs/>
              </w:rPr>
              <w:t xml:space="preserve"> n. 3.1.3 </w:t>
            </w:r>
            <w:r w:rsidRPr="0030525A">
              <w:rPr>
                <w:rFonts w:cs="DecimaWERg"/>
                <w:b/>
              </w:rPr>
              <w:t>Ente per la gestione accentrata dei servizi condivisi</w:t>
            </w:r>
          </w:p>
        </w:tc>
      </w:tr>
      <w:tr w:rsidR="005325AC" w:rsidRPr="0030525A" w:rsidTr="000D30D1">
        <w:trPr>
          <w:trHeight w:val="809"/>
          <w:jc w:val="center"/>
        </w:trPr>
        <w:tc>
          <w:tcPr>
            <w:tcW w:w="4533" w:type="dxa"/>
            <w:tcBorders>
              <w:top w:val="single" w:sz="4" w:space="0" w:color="auto"/>
              <w:left w:val="single" w:sz="4" w:space="0" w:color="auto"/>
              <w:bottom w:val="single" w:sz="4" w:space="0" w:color="auto"/>
              <w:right w:val="single" w:sz="4" w:space="0" w:color="auto"/>
            </w:tcBorders>
            <w:shd w:val="clear" w:color="auto" w:fill="E0E0E0"/>
          </w:tcPr>
          <w:p w:rsidR="005325AC" w:rsidRPr="003A3593" w:rsidRDefault="005325AC" w:rsidP="000D30D1">
            <w:pPr>
              <w:rPr>
                <w:b/>
              </w:rPr>
            </w:pPr>
            <w:r w:rsidRPr="003A3593">
              <w:rPr>
                <w:b/>
              </w:rPr>
              <w:t>Obiettivo aziendale</w:t>
            </w:r>
          </w:p>
          <w:p w:rsidR="005325AC" w:rsidRPr="0030525A" w:rsidRDefault="005325AC" w:rsidP="000D30D1">
            <w:pPr>
              <w:pStyle w:val="Paragrafoelenco10"/>
              <w:spacing w:line="240" w:lineRule="auto"/>
              <w:ind w:left="0"/>
              <w:jc w:val="both"/>
              <w:rPr>
                <w:rFonts w:asciiTheme="minorHAnsi" w:hAnsiTheme="minorHAnsi" w:cs="DecimaWE Rg"/>
              </w:rPr>
            </w:pPr>
            <w:r w:rsidRPr="0030525A">
              <w:rPr>
                <w:rFonts w:asciiTheme="minorHAnsi" w:hAnsiTheme="minorHAnsi" w:cs="DecimaWE Rg"/>
              </w:rPr>
              <w:t>Trasferimento all’EGAS delle seguenti funzioni:</w:t>
            </w:r>
          </w:p>
          <w:p w:rsidR="005325AC" w:rsidRPr="0030525A" w:rsidRDefault="005325AC" w:rsidP="008A29F1">
            <w:pPr>
              <w:pStyle w:val="Paragrafoelenco10"/>
              <w:numPr>
                <w:ilvl w:val="0"/>
                <w:numId w:val="14"/>
              </w:numPr>
              <w:spacing w:after="0" w:line="240" w:lineRule="auto"/>
              <w:jc w:val="both"/>
              <w:rPr>
                <w:rFonts w:asciiTheme="minorHAnsi" w:hAnsiTheme="minorHAnsi" w:cs="DecimaWE Rg"/>
              </w:rPr>
            </w:pPr>
            <w:r w:rsidRPr="0030525A">
              <w:rPr>
                <w:rFonts w:asciiTheme="minorHAnsi" w:hAnsiTheme="minorHAnsi" w:cs="DecimaWE Rg"/>
              </w:rPr>
              <w:t>avvio di concorsi di personale per il comparto</w:t>
            </w:r>
          </w:p>
          <w:p w:rsidR="005325AC" w:rsidRPr="0030525A" w:rsidRDefault="005325AC" w:rsidP="008A29F1">
            <w:pPr>
              <w:pStyle w:val="Paragrafoelenco10"/>
              <w:numPr>
                <w:ilvl w:val="0"/>
                <w:numId w:val="14"/>
              </w:numPr>
              <w:spacing w:line="240" w:lineRule="auto"/>
              <w:jc w:val="both"/>
              <w:rPr>
                <w:rFonts w:asciiTheme="minorHAnsi" w:hAnsiTheme="minorHAnsi"/>
              </w:rPr>
            </w:pPr>
            <w:r w:rsidRPr="0030525A">
              <w:rPr>
                <w:rFonts w:asciiTheme="minorHAnsi" w:hAnsiTheme="minorHAnsi" w:cs="DecimaWE Rg"/>
              </w:rPr>
              <w:t>formazione secondo le indicazioni contenute nel piano regionale della formazione per le attività formative direttamente presidiate dalla Regione</w:t>
            </w:r>
          </w:p>
        </w:tc>
        <w:tc>
          <w:tcPr>
            <w:tcW w:w="5321" w:type="dxa"/>
            <w:tcBorders>
              <w:top w:val="single" w:sz="4" w:space="0" w:color="auto"/>
              <w:left w:val="single" w:sz="4" w:space="0" w:color="auto"/>
              <w:bottom w:val="single" w:sz="4" w:space="0" w:color="auto"/>
              <w:right w:val="single" w:sz="4" w:space="0" w:color="auto"/>
            </w:tcBorders>
            <w:shd w:val="clear" w:color="auto" w:fill="E0E0E0"/>
          </w:tcPr>
          <w:p w:rsidR="005325AC" w:rsidRPr="003A3593" w:rsidRDefault="005325AC" w:rsidP="000D30D1">
            <w:pPr>
              <w:jc w:val="both"/>
              <w:rPr>
                <w:b/>
              </w:rPr>
            </w:pPr>
            <w:r w:rsidRPr="003A3593">
              <w:rPr>
                <w:b/>
              </w:rPr>
              <w:t>Risultat</w:t>
            </w:r>
            <w:r>
              <w:rPr>
                <w:b/>
              </w:rPr>
              <w:t>o</w:t>
            </w:r>
            <w:r w:rsidRPr="003A3593">
              <w:rPr>
                <w:b/>
              </w:rPr>
              <w:t xml:space="preserve"> attes</w:t>
            </w:r>
            <w:r>
              <w:rPr>
                <w:b/>
              </w:rPr>
              <w:t>o</w:t>
            </w:r>
          </w:p>
          <w:p w:rsidR="005325AC" w:rsidRPr="0030525A" w:rsidRDefault="005325AC" w:rsidP="000D30D1">
            <w:pPr>
              <w:pStyle w:val="Paragrafoelenco"/>
              <w:spacing w:after="0" w:line="240" w:lineRule="auto"/>
              <w:ind w:left="230"/>
              <w:jc w:val="both"/>
            </w:pPr>
          </w:p>
          <w:p w:rsidR="005325AC" w:rsidRPr="0030525A" w:rsidRDefault="005325AC" w:rsidP="000D30D1">
            <w:pPr>
              <w:pStyle w:val="Paragrafoelenco"/>
              <w:spacing w:after="0" w:line="240" w:lineRule="auto"/>
              <w:ind w:left="230"/>
              <w:jc w:val="both"/>
            </w:pPr>
          </w:p>
          <w:p w:rsidR="005325AC" w:rsidRPr="0030525A" w:rsidRDefault="005325AC" w:rsidP="000D30D1">
            <w:pPr>
              <w:pStyle w:val="Paragrafoelenco"/>
              <w:spacing w:after="0" w:line="240" w:lineRule="auto"/>
              <w:ind w:left="230"/>
              <w:jc w:val="both"/>
            </w:pPr>
          </w:p>
          <w:p w:rsidR="005325AC" w:rsidRPr="0030525A" w:rsidRDefault="005325AC" w:rsidP="000D30D1">
            <w:pPr>
              <w:pStyle w:val="Paragrafoelenco"/>
              <w:spacing w:after="0" w:line="240" w:lineRule="auto"/>
              <w:ind w:left="230"/>
              <w:jc w:val="both"/>
            </w:pPr>
            <w:r w:rsidRPr="0030525A">
              <w:t>Entro il 31.12.2015</w:t>
            </w:r>
          </w:p>
        </w:tc>
      </w:tr>
      <w:tr w:rsidR="005325AC" w:rsidRPr="0030525A" w:rsidTr="000D30D1">
        <w:trPr>
          <w:jc w:val="center"/>
        </w:trPr>
        <w:tc>
          <w:tcPr>
            <w:tcW w:w="985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325AC" w:rsidRPr="003006A5" w:rsidRDefault="005325AC" w:rsidP="000D30D1">
            <w:pPr>
              <w:jc w:val="both"/>
              <w:outlineLvl w:val="0"/>
              <w:rPr>
                <w:rFonts w:eastAsia="MS Mincho" w:cs="Calibri"/>
                <w:b/>
              </w:rPr>
            </w:pPr>
            <w:r>
              <w:rPr>
                <w:rFonts w:eastAsia="MS Mincho" w:cs="Calibri"/>
                <w:b/>
              </w:rPr>
              <w:t>Attuazione al 31.12.2015</w:t>
            </w:r>
          </w:p>
          <w:p w:rsidR="005325AC" w:rsidRDefault="005325AC" w:rsidP="008A29F1">
            <w:pPr>
              <w:pStyle w:val="Paragrafoelenco"/>
              <w:numPr>
                <w:ilvl w:val="0"/>
                <w:numId w:val="26"/>
              </w:numPr>
              <w:spacing w:after="0" w:line="240" w:lineRule="auto"/>
              <w:contextualSpacing w:val="0"/>
              <w:jc w:val="both"/>
              <w:outlineLvl w:val="0"/>
              <w:rPr>
                <w:rFonts w:cs="DecimaWE Rg"/>
                <w:bCs/>
              </w:rPr>
            </w:pPr>
            <w:r>
              <w:rPr>
                <w:rFonts w:cs="DecimaWE Rg"/>
                <w:bCs/>
              </w:rPr>
              <w:t>c</w:t>
            </w:r>
            <w:r w:rsidRPr="00EB35F7">
              <w:rPr>
                <w:rFonts w:cs="DecimaWE Rg"/>
                <w:bCs/>
              </w:rPr>
              <w:t xml:space="preserve">on determinazione dirigenziale n. 177 del 14.05.2015 </w:t>
            </w:r>
            <w:r>
              <w:rPr>
                <w:rFonts w:cs="DecimaWE Rg"/>
                <w:bCs/>
              </w:rPr>
              <w:t xml:space="preserve">l’Istituto </w:t>
            </w:r>
            <w:r w:rsidRPr="00EB35F7">
              <w:rPr>
                <w:rFonts w:cs="DecimaWE Rg"/>
                <w:bCs/>
              </w:rPr>
              <w:t>ha indetto avviso di mobilità riservato al profilo di collaboratore professionale esperto</w:t>
            </w:r>
            <w:r>
              <w:rPr>
                <w:rFonts w:cs="DecimaWE Rg"/>
                <w:bCs/>
              </w:rPr>
              <w:t xml:space="preserve"> per n. 7 posti</w:t>
            </w:r>
            <w:r w:rsidRPr="00EB35F7">
              <w:rPr>
                <w:rFonts w:cs="DecimaWE Rg"/>
                <w:bCs/>
              </w:rPr>
              <w:t xml:space="preserve">. </w:t>
            </w:r>
            <w:r>
              <w:rPr>
                <w:rFonts w:cs="DecimaWE Rg"/>
                <w:bCs/>
              </w:rPr>
              <w:t xml:space="preserve">La procedura ha portato all’individuazione di n. 1 domanda di mobilità </w:t>
            </w:r>
            <w:proofErr w:type="spellStart"/>
            <w:r>
              <w:t>accoglibile</w:t>
            </w:r>
            <w:proofErr w:type="spellEnd"/>
            <w:r>
              <w:rPr>
                <w:rFonts w:cs="DecimaWE Rg"/>
                <w:bCs/>
              </w:rPr>
              <w:t xml:space="preserve">. L’istituto ha comunicato il proprio fabbisogno aziendale di infermieri da soddisfare mediante il concorso unico regionale (nota </w:t>
            </w:r>
            <w:proofErr w:type="spellStart"/>
            <w:r>
              <w:rPr>
                <w:rFonts w:cs="DecimaWE Rg"/>
                <w:bCs/>
              </w:rPr>
              <w:t>prot</w:t>
            </w:r>
            <w:proofErr w:type="spellEnd"/>
            <w:r>
              <w:rPr>
                <w:rFonts w:cs="DecimaWE Rg"/>
                <w:bCs/>
              </w:rPr>
              <w:t xml:space="preserve">. CRO n. 12472 del 17.07.2015). Come richiesto da EGAS, l’Istituto ha messo a disposizione n. 5 propri infermieri per supporto nell’espletamento delle attività concorsuali (nota </w:t>
            </w:r>
            <w:proofErr w:type="spellStart"/>
            <w:r>
              <w:rPr>
                <w:rFonts w:cs="DecimaWE Rg"/>
                <w:bCs/>
              </w:rPr>
              <w:t>prot</w:t>
            </w:r>
            <w:proofErr w:type="spellEnd"/>
            <w:r>
              <w:rPr>
                <w:rFonts w:cs="DecimaWE Rg"/>
                <w:bCs/>
              </w:rPr>
              <w:t>. CRO n. 1027/DG del 21.01.2016).</w:t>
            </w:r>
          </w:p>
          <w:p w:rsidR="005325AC" w:rsidRPr="00940B3E" w:rsidRDefault="005325AC" w:rsidP="000D30D1">
            <w:pPr>
              <w:pStyle w:val="Paragrafoelenco"/>
              <w:spacing w:after="0" w:line="240" w:lineRule="auto"/>
              <w:jc w:val="both"/>
              <w:outlineLvl w:val="0"/>
              <w:rPr>
                <w:rFonts w:cs="DecimaWE Rg"/>
                <w:bCs/>
              </w:rPr>
            </w:pPr>
            <w:r>
              <w:rPr>
                <w:rFonts w:cs="DecimaWE Rg"/>
                <w:bCs/>
              </w:rPr>
              <w:t>c</w:t>
            </w:r>
            <w:r w:rsidRPr="00EB35F7">
              <w:rPr>
                <w:rFonts w:cs="DecimaWE Rg"/>
                <w:bCs/>
              </w:rPr>
              <w:t xml:space="preserve">on determinazione dirigenziale n. </w:t>
            </w:r>
            <w:r>
              <w:rPr>
                <w:rFonts w:cs="DecimaWE Rg"/>
                <w:bCs/>
              </w:rPr>
              <w:t>257</w:t>
            </w:r>
            <w:r w:rsidRPr="00EB35F7">
              <w:rPr>
                <w:rFonts w:cs="DecimaWE Rg"/>
                <w:bCs/>
              </w:rPr>
              <w:t xml:space="preserve"> del </w:t>
            </w:r>
            <w:r>
              <w:rPr>
                <w:rFonts w:cs="DecimaWE Rg"/>
                <w:bCs/>
              </w:rPr>
              <w:t>20.07</w:t>
            </w:r>
            <w:r w:rsidRPr="00EB35F7">
              <w:rPr>
                <w:rFonts w:cs="DecimaWE Rg"/>
                <w:bCs/>
              </w:rPr>
              <w:t xml:space="preserve">.2015 </w:t>
            </w:r>
            <w:r>
              <w:rPr>
                <w:rFonts w:cs="DecimaWE Rg"/>
                <w:bCs/>
              </w:rPr>
              <w:t xml:space="preserve">l’Istituto </w:t>
            </w:r>
            <w:r w:rsidRPr="00EB35F7">
              <w:rPr>
                <w:rFonts w:cs="DecimaWE Rg"/>
                <w:bCs/>
              </w:rPr>
              <w:t xml:space="preserve">ha indetto avviso di mobilità </w:t>
            </w:r>
            <w:r>
              <w:rPr>
                <w:rFonts w:cs="DecimaWE Rg"/>
                <w:bCs/>
              </w:rPr>
              <w:t xml:space="preserve">volontaria riservato </w:t>
            </w:r>
            <w:r w:rsidRPr="00EB35F7">
              <w:rPr>
                <w:rFonts w:cs="DecimaWE Rg"/>
                <w:bCs/>
              </w:rPr>
              <w:t xml:space="preserve">al profilo di </w:t>
            </w:r>
            <w:r>
              <w:rPr>
                <w:rFonts w:cs="DecimaWE Rg"/>
                <w:bCs/>
              </w:rPr>
              <w:t xml:space="preserve">Operatore Socio Sanitario per n. 1 posto. </w:t>
            </w:r>
            <w:r w:rsidRPr="00EB35F7">
              <w:rPr>
                <w:rFonts w:cs="DecimaWE Rg"/>
                <w:bCs/>
              </w:rPr>
              <w:t xml:space="preserve">collaboratore professionale esperto. </w:t>
            </w:r>
            <w:r>
              <w:rPr>
                <w:rFonts w:cs="DecimaWE Rg"/>
                <w:bCs/>
              </w:rPr>
              <w:t xml:space="preserve">La procedura ha portato all’individuazione di n. 1 domanda di mobilità </w:t>
            </w:r>
            <w:proofErr w:type="spellStart"/>
            <w:r>
              <w:t>accoglibile</w:t>
            </w:r>
            <w:proofErr w:type="spellEnd"/>
            <w:r>
              <w:rPr>
                <w:rFonts w:cs="DecimaWE Rg"/>
                <w:bCs/>
              </w:rPr>
              <w:t xml:space="preserve">. L’istituto ha quindi informato EGAS di non registrare – allo stato attuale – un fabbisogno di figure di Operatore Socio Sanitario da dover soddisfare mediante la procedura concorsuale regionale, chiedendo in ogni caso di poter fruire della graduatoria che ne scaturirà per eventuali fabbisogni futuri. </w:t>
            </w:r>
            <w:r w:rsidRPr="00940B3E">
              <w:rPr>
                <w:rFonts w:cs="DecimaWE Rg"/>
                <w:bCs/>
              </w:rPr>
              <w:t xml:space="preserve">Come richiesto da EGAS, l’Istituto ha messo a disposizione n. </w:t>
            </w:r>
            <w:r>
              <w:rPr>
                <w:rFonts w:cs="DecimaWE Rg"/>
                <w:bCs/>
              </w:rPr>
              <w:t>1</w:t>
            </w:r>
            <w:r w:rsidRPr="00940B3E">
              <w:rPr>
                <w:rFonts w:cs="DecimaWE Rg"/>
                <w:bCs/>
              </w:rPr>
              <w:t xml:space="preserve"> propri</w:t>
            </w:r>
            <w:r>
              <w:rPr>
                <w:rFonts w:cs="DecimaWE Rg"/>
                <w:bCs/>
              </w:rPr>
              <w:t xml:space="preserve">o OSS </w:t>
            </w:r>
            <w:r w:rsidRPr="00940B3E">
              <w:rPr>
                <w:rFonts w:cs="DecimaWE Rg"/>
                <w:bCs/>
              </w:rPr>
              <w:t xml:space="preserve">per supporto nell’espletamento delle attività concorsuali (nota </w:t>
            </w:r>
            <w:proofErr w:type="spellStart"/>
            <w:r w:rsidRPr="00940B3E">
              <w:rPr>
                <w:rFonts w:cs="DecimaWE Rg"/>
                <w:bCs/>
              </w:rPr>
              <w:t>prot</w:t>
            </w:r>
            <w:proofErr w:type="spellEnd"/>
            <w:r w:rsidRPr="00940B3E">
              <w:rPr>
                <w:rFonts w:cs="DecimaWE Rg"/>
                <w:bCs/>
              </w:rPr>
              <w:t xml:space="preserve">. CRO n. </w:t>
            </w:r>
            <w:r>
              <w:rPr>
                <w:rFonts w:cs="DecimaWE Rg"/>
                <w:bCs/>
              </w:rPr>
              <w:t>3070</w:t>
            </w:r>
            <w:r w:rsidRPr="00940B3E">
              <w:rPr>
                <w:rFonts w:cs="DecimaWE Rg"/>
                <w:bCs/>
              </w:rPr>
              <w:t>/DG del 2</w:t>
            </w:r>
            <w:r>
              <w:rPr>
                <w:rFonts w:cs="DecimaWE Rg"/>
                <w:bCs/>
              </w:rPr>
              <w:t>0</w:t>
            </w:r>
            <w:r w:rsidRPr="00940B3E">
              <w:rPr>
                <w:rFonts w:cs="DecimaWE Rg"/>
                <w:bCs/>
              </w:rPr>
              <w:t>.0</w:t>
            </w:r>
            <w:r>
              <w:rPr>
                <w:rFonts w:cs="DecimaWE Rg"/>
                <w:bCs/>
              </w:rPr>
              <w:t>2</w:t>
            </w:r>
            <w:r w:rsidRPr="00940B3E">
              <w:rPr>
                <w:rFonts w:cs="DecimaWE Rg"/>
                <w:bCs/>
              </w:rPr>
              <w:t>.2016).</w:t>
            </w:r>
          </w:p>
          <w:p w:rsidR="005325AC" w:rsidRPr="0030525A" w:rsidRDefault="005325AC" w:rsidP="008A29F1">
            <w:pPr>
              <w:pStyle w:val="Paragrafoelenco"/>
              <w:numPr>
                <w:ilvl w:val="0"/>
                <w:numId w:val="26"/>
              </w:numPr>
              <w:spacing w:after="0" w:line="240" w:lineRule="auto"/>
              <w:contextualSpacing w:val="0"/>
              <w:jc w:val="both"/>
              <w:outlineLvl w:val="0"/>
              <w:rPr>
                <w:rFonts w:cs="DecimaWE Rg"/>
                <w:b/>
                <w:bCs/>
              </w:rPr>
            </w:pPr>
            <w:r w:rsidRPr="000C564F">
              <w:rPr>
                <w:rFonts w:cs="DecimaWE Rg"/>
                <w:bCs/>
              </w:rPr>
              <w:t>non è pervenuto il piano r</w:t>
            </w:r>
            <w:r>
              <w:rPr>
                <w:rFonts w:cs="DecimaWE Rg"/>
                <w:bCs/>
              </w:rPr>
              <w:t>egionale della formazione ma l’I</w:t>
            </w:r>
            <w:r w:rsidRPr="000C564F">
              <w:rPr>
                <w:rFonts w:cs="DecimaWE Rg"/>
                <w:bCs/>
              </w:rPr>
              <w:t>stituto ha comunque svolto tutte le attività richieste dalla Regione</w:t>
            </w:r>
            <w:r>
              <w:rPr>
                <w:rFonts w:cs="DecimaWE Rg"/>
                <w:bCs/>
              </w:rPr>
              <w:t>.</w:t>
            </w:r>
          </w:p>
        </w:tc>
      </w:tr>
      <w:tr w:rsidR="005325AC" w:rsidRPr="0030525A" w:rsidTr="000D30D1">
        <w:trPr>
          <w:jc w:val="center"/>
        </w:trPr>
        <w:tc>
          <w:tcPr>
            <w:tcW w:w="9854" w:type="dxa"/>
            <w:gridSpan w:val="2"/>
            <w:tcBorders>
              <w:top w:val="single" w:sz="4" w:space="0" w:color="auto"/>
              <w:left w:val="single" w:sz="4" w:space="0" w:color="auto"/>
              <w:bottom w:val="single" w:sz="4" w:space="0" w:color="auto"/>
              <w:right w:val="single" w:sz="4" w:space="0" w:color="auto"/>
            </w:tcBorders>
          </w:tcPr>
          <w:p w:rsidR="005325AC" w:rsidRPr="0030525A" w:rsidRDefault="005325AC" w:rsidP="000D30D1">
            <w:pPr>
              <w:jc w:val="both"/>
              <w:outlineLvl w:val="0"/>
            </w:pPr>
            <w:r w:rsidRPr="0030525A">
              <w:rPr>
                <w:rFonts w:cs="DecimaWE Rg"/>
                <w:b/>
                <w:bCs/>
              </w:rPr>
              <w:t xml:space="preserve">Linea </w:t>
            </w:r>
            <w:r w:rsidRPr="0030525A">
              <w:rPr>
                <w:rFonts w:cs="DecimaWERg"/>
                <w:b/>
              </w:rPr>
              <w:t>progettuale</w:t>
            </w:r>
            <w:r w:rsidRPr="0030525A">
              <w:rPr>
                <w:rFonts w:cs="DecimaWE Rg"/>
                <w:b/>
                <w:bCs/>
              </w:rPr>
              <w:t xml:space="preserve"> n. 3.1.6 </w:t>
            </w:r>
            <w:r w:rsidRPr="0030525A">
              <w:rPr>
                <w:rFonts w:cs="DecimaWERg"/>
                <w:b/>
              </w:rPr>
              <w:t>Laboratori analisi e microbiologie e virologia</w:t>
            </w:r>
          </w:p>
        </w:tc>
      </w:tr>
      <w:tr w:rsidR="005325AC" w:rsidRPr="0030525A" w:rsidTr="000D30D1">
        <w:trPr>
          <w:trHeight w:val="809"/>
          <w:jc w:val="center"/>
        </w:trPr>
        <w:tc>
          <w:tcPr>
            <w:tcW w:w="4533" w:type="dxa"/>
            <w:tcBorders>
              <w:top w:val="single" w:sz="4" w:space="0" w:color="auto"/>
              <w:left w:val="single" w:sz="4" w:space="0" w:color="auto"/>
              <w:bottom w:val="single" w:sz="4" w:space="0" w:color="auto"/>
              <w:right w:val="single" w:sz="4" w:space="0" w:color="auto"/>
            </w:tcBorders>
            <w:shd w:val="clear" w:color="auto" w:fill="E0E0E0"/>
          </w:tcPr>
          <w:p w:rsidR="005325AC" w:rsidRPr="003A3593" w:rsidRDefault="005325AC" w:rsidP="000D30D1">
            <w:pPr>
              <w:rPr>
                <w:b/>
              </w:rPr>
            </w:pPr>
            <w:r w:rsidRPr="003A3593">
              <w:rPr>
                <w:b/>
              </w:rPr>
              <w:t>Obiettivo aziendale</w:t>
            </w:r>
          </w:p>
          <w:p w:rsidR="005325AC" w:rsidRPr="00227DC3" w:rsidRDefault="005325AC" w:rsidP="000D30D1">
            <w:pPr>
              <w:keepNext/>
              <w:spacing w:before="240" w:after="60"/>
              <w:outlineLvl w:val="3"/>
              <w:rPr>
                <w:rFonts w:eastAsia="Times New Roman" w:cs="DecimaWERg"/>
                <w:lang w:eastAsia="it-IT"/>
              </w:rPr>
            </w:pPr>
            <w:r w:rsidRPr="00227DC3">
              <w:rPr>
                <w:rFonts w:eastAsia="Times New Roman" w:cs="DecimaWERg"/>
                <w:lang w:eastAsia="it-IT"/>
              </w:rPr>
              <w:t>Laboratori analisi e Microbiologie e virologia</w:t>
            </w:r>
          </w:p>
          <w:p w:rsidR="005325AC" w:rsidRPr="0030525A" w:rsidRDefault="005325AC" w:rsidP="000D30D1">
            <w:pPr>
              <w:keepNext/>
              <w:spacing w:before="240" w:after="60"/>
              <w:outlineLvl w:val="3"/>
            </w:pPr>
            <w:r w:rsidRPr="00227DC3">
              <w:rPr>
                <w:rFonts w:ascii="DecimaWE Rg" w:hAnsi="DecimaWE Rg" w:cs="Calibri"/>
              </w:rPr>
              <w:t>Predisposizione di un documento di riorganizzazione complessiva delle attività di Laboratorio analisi e Microbiologia</w:t>
            </w:r>
          </w:p>
        </w:tc>
        <w:tc>
          <w:tcPr>
            <w:tcW w:w="5321" w:type="dxa"/>
            <w:tcBorders>
              <w:top w:val="single" w:sz="4" w:space="0" w:color="auto"/>
              <w:left w:val="single" w:sz="4" w:space="0" w:color="auto"/>
              <w:bottom w:val="single" w:sz="4" w:space="0" w:color="auto"/>
              <w:right w:val="single" w:sz="4" w:space="0" w:color="auto"/>
            </w:tcBorders>
            <w:shd w:val="clear" w:color="auto" w:fill="E0E0E0"/>
          </w:tcPr>
          <w:p w:rsidR="005325AC" w:rsidRPr="003A3593" w:rsidRDefault="005325AC" w:rsidP="000D30D1">
            <w:pPr>
              <w:jc w:val="both"/>
              <w:rPr>
                <w:b/>
              </w:rPr>
            </w:pPr>
            <w:r w:rsidRPr="003A3593">
              <w:rPr>
                <w:b/>
              </w:rPr>
              <w:t>Risultat</w:t>
            </w:r>
            <w:r>
              <w:rPr>
                <w:b/>
              </w:rPr>
              <w:t>o</w:t>
            </w:r>
            <w:r w:rsidRPr="003A3593">
              <w:rPr>
                <w:b/>
              </w:rPr>
              <w:t xml:space="preserve"> attes</w:t>
            </w:r>
            <w:r>
              <w:rPr>
                <w:b/>
              </w:rPr>
              <w:t>o</w:t>
            </w:r>
          </w:p>
          <w:p w:rsidR="005325AC" w:rsidRDefault="005325AC" w:rsidP="000D30D1">
            <w:pPr>
              <w:pStyle w:val="Paragrafoelenco"/>
              <w:spacing w:after="0" w:line="240" w:lineRule="auto"/>
              <w:ind w:left="230"/>
              <w:jc w:val="both"/>
              <w:rPr>
                <w:rFonts w:eastAsia="Times New Roman" w:cs="DecimaWERg"/>
                <w:lang w:eastAsia="it-IT"/>
              </w:rPr>
            </w:pPr>
            <w:r w:rsidRPr="0030525A">
              <w:rPr>
                <w:rFonts w:eastAsia="Times New Roman" w:cs="DecimaWERg"/>
                <w:lang w:eastAsia="it-IT"/>
              </w:rPr>
              <w:t>Completamento della nuova organizzazione con la realizzazione del centro HUB nel presidio ospedaliero di Pordenone.</w:t>
            </w:r>
          </w:p>
          <w:p w:rsidR="005325AC" w:rsidRPr="00227DC3" w:rsidRDefault="005325AC" w:rsidP="000D30D1">
            <w:pPr>
              <w:jc w:val="both"/>
              <w:rPr>
                <w:rFonts w:ascii="DecimaWE Rg" w:hAnsi="DecimaWE Rg" w:cs="Calibri"/>
              </w:rPr>
            </w:pPr>
            <w:r w:rsidRPr="00227DC3">
              <w:rPr>
                <w:rFonts w:ascii="DecimaWE Rg" w:hAnsi="DecimaWE Rg" w:cs="Calibri"/>
              </w:rPr>
              <w:t>- Elaborazione di documento condiviso tra AAS5 e CRO</w:t>
            </w:r>
          </w:p>
          <w:p w:rsidR="005325AC" w:rsidRPr="0030525A" w:rsidRDefault="005325AC" w:rsidP="000D30D1">
            <w:pPr>
              <w:pStyle w:val="Paragrafoelenco"/>
              <w:spacing w:after="0" w:line="240" w:lineRule="auto"/>
              <w:ind w:left="230"/>
              <w:jc w:val="both"/>
            </w:pPr>
          </w:p>
        </w:tc>
      </w:tr>
    </w:tbl>
    <w:p w:rsidR="005325AC" w:rsidRDefault="005325AC" w:rsidP="005325AC"/>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3"/>
        <w:gridCol w:w="5321"/>
      </w:tblGrid>
      <w:tr w:rsidR="005325AC" w:rsidRPr="0030525A" w:rsidTr="000D30D1">
        <w:trPr>
          <w:jc w:val="center"/>
        </w:trPr>
        <w:tc>
          <w:tcPr>
            <w:tcW w:w="985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325AC" w:rsidRPr="003006A5" w:rsidRDefault="005325AC" w:rsidP="000D30D1">
            <w:pPr>
              <w:jc w:val="both"/>
              <w:outlineLvl w:val="0"/>
              <w:rPr>
                <w:rFonts w:eastAsia="MS Mincho" w:cs="Calibri"/>
                <w:b/>
              </w:rPr>
            </w:pPr>
            <w:r>
              <w:rPr>
                <w:rFonts w:eastAsia="MS Mincho" w:cs="Calibri"/>
                <w:b/>
              </w:rPr>
              <w:t>Attuazione al 31.12.2015</w:t>
            </w:r>
          </w:p>
          <w:p w:rsidR="005325AC" w:rsidRPr="00967C50" w:rsidRDefault="005325AC" w:rsidP="000D30D1">
            <w:pPr>
              <w:pStyle w:val="NormaleWeb"/>
              <w:jc w:val="both"/>
              <w:rPr>
                <w:rFonts w:asciiTheme="minorHAnsi" w:eastAsia="Times New Roman" w:hAnsiTheme="minorHAnsi" w:cs="DecimaWERg"/>
                <w:sz w:val="22"/>
                <w:szCs w:val="22"/>
              </w:rPr>
            </w:pPr>
            <w:r w:rsidRPr="00967C50">
              <w:rPr>
                <w:rFonts w:asciiTheme="minorHAnsi" w:eastAsia="Times New Roman" w:hAnsiTheme="minorHAnsi" w:cs="DecimaWERg"/>
                <w:sz w:val="22"/>
                <w:szCs w:val="22"/>
              </w:rPr>
              <w:t xml:space="preserve">attività </w:t>
            </w:r>
            <w:r>
              <w:rPr>
                <w:rFonts w:asciiTheme="minorHAnsi" w:eastAsia="Times New Roman" w:hAnsiTheme="minorHAnsi" w:cs="DecimaWERg"/>
                <w:sz w:val="22"/>
                <w:szCs w:val="22"/>
              </w:rPr>
              <w:t xml:space="preserve">rinviata </w:t>
            </w:r>
            <w:r w:rsidRPr="00967C50">
              <w:rPr>
                <w:rFonts w:asciiTheme="minorHAnsi" w:eastAsia="Times New Roman" w:hAnsiTheme="minorHAnsi" w:cs="DecimaWERg"/>
                <w:sz w:val="22"/>
                <w:szCs w:val="22"/>
              </w:rPr>
              <w:t xml:space="preserve">al </w:t>
            </w:r>
            <w:r>
              <w:rPr>
                <w:rFonts w:asciiTheme="minorHAnsi" w:eastAsia="Times New Roman" w:hAnsiTheme="minorHAnsi" w:cs="DecimaWERg"/>
                <w:sz w:val="22"/>
                <w:szCs w:val="22"/>
              </w:rPr>
              <w:t xml:space="preserve">2016 come da indicazioni contenute nelle linee per la gestione del SSR anno 2016 </w:t>
            </w:r>
            <w:r>
              <w:rPr>
                <w:rFonts w:asciiTheme="minorHAnsi" w:eastAsia="Times New Roman" w:hAnsiTheme="minorHAnsi" w:cs="DecimaWERg"/>
                <w:sz w:val="22"/>
                <w:szCs w:val="22"/>
              </w:rPr>
              <w:lastRenderedPageBreak/>
              <w:t>approvate con DGR n. 2559 del 22.12.2015</w:t>
            </w:r>
            <w:r w:rsidRPr="00967C50">
              <w:rPr>
                <w:rFonts w:asciiTheme="minorHAnsi" w:eastAsia="Times New Roman" w:hAnsiTheme="minorHAnsi" w:cs="DecimaWERg"/>
                <w:sz w:val="22"/>
                <w:szCs w:val="22"/>
              </w:rPr>
              <w:t>.</w:t>
            </w:r>
          </w:p>
        </w:tc>
      </w:tr>
      <w:tr w:rsidR="005325AC" w:rsidRPr="0030525A" w:rsidTr="000D30D1">
        <w:trPr>
          <w:jc w:val="center"/>
        </w:trPr>
        <w:tc>
          <w:tcPr>
            <w:tcW w:w="9854" w:type="dxa"/>
            <w:gridSpan w:val="2"/>
            <w:tcBorders>
              <w:top w:val="single" w:sz="4" w:space="0" w:color="auto"/>
              <w:left w:val="single" w:sz="4" w:space="0" w:color="auto"/>
              <w:bottom w:val="single" w:sz="4" w:space="0" w:color="auto"/>
              <w:right w:val="single" w:sz="4" w:space="0" w:color="auto"/>
            </w:tcBorders>
          </w:tcPr>
          <w:p w:rsidR="005325AC" w:rsidRPr="0030525A" w:rsidRDefault="005325AC" w:rsidP="000D30D1">
            <w:pPr>
              <w:jc w:val="both"/>
              <w:outlineLvl w:val="0"/>
            </w:pPr>
            <w:r w:rsidRPr="0030525A">
              <w:rPr>
                <w:rFonts w:cs="DecimaWE Rg"/>
                <w:b/>
                <w:bCs/>
              </w:rPr>
              <w:lastRenderedPageBreak/>
              <w:t xml:space="preserve">Linea </w:t>
            </w:r>
            <w:r w:rsidRPr="0030525A">
              <w:rPr>
                <w:rFonts w:cs="DecimaWERg"/>
                <w:b/>
              </w:rPr>
              <w:t>progettuale</w:t>
            </w:r>
            <w:r w:rsidRPr="0030525A">
              <w:rPr>
                <w:rFonts w:cs="DecimaWE Rg"/>
                <w:b/>
                <w:bCs/>
              </w:rPr>
              <w:t xml:space="preserve"> n. 3.1.7 Posti letto</w:t>
            </w:r>
          </w:p>
        </w:tc>
      </w:tr>
      <w:tr w:rsidR="005325AC" w:rsidRPr="000C3D13" w:rsidTr="000D30D1">
        <w:trPr>
          <w:trHeight w:val="809"/>
          <w:jc w:val="center"/>
        </w:trPr>
        <w:tc>
          <w:tcPr>
            <w:tcW w:w="4533" w:type="dxa"/>
            <w:tcBorders>
              <w:top w:val="single" w:sz="4" w:space="0" w:color="auto"/>
              <w:left w:val="single" w:sz="4" w:space="0" w:color="auto"/>
              <w:bottom w:val="single" w:sz="4" w:space="0" w:color="auto"/>
              <w:right w:val="single" w:sz="4" w:space="0" w:color="auto"/>
            </w:tcBorders>
            <w:shd w:val="clear" w:color="auto" w:fill="E0E0E0"/>
          </w:tcPr>
          <w:p w:rsidR="005325AC" w:rsidRPr="000C3D13" w:rsidRDefault="005325AC" w:rsidP="000D30D1">
            <w:pPr>
              <w:rPr>
                <w:b/>
              </w:rPr>
            </w:pPr>
            <w:r w:rsidRPr="000C3D13">
              <w:rPr>
                <w:b/>
              </w:rPr>
              <w:t>Obiettivo aziendale</w:t>
            </w:r>
          </w:p>
          <w:p w:rsidR="005325AC" w:rsidRPr="000C3D13" w:rsidRDefault="005325AC" w:rsidP="000D30D1">
            <w:r w:rsidRPr="000C3D13">
              <w:t>Avvio graduale della riduzione e/o riconversione dei posti letto ospedalieri , secondo gli standard previsti dagli allegati 1 e 2 della DGR n. 2673 del 30.12.2014.</w:t>
            </w:r>
          </w:p>
        </w:tc>
        <w:tc>
          <w:tcPr>
            <w:tcW w:w="5321" w:type="dxa"/>
            <w:tcBorders>
              <w:top w:val="single" w:sz="4" w:space="0" w:color="auto"/>
              <w:left w:val="single" w:sz="4" w:space="0" w:color="auto"/>
              <w:bottom w:val="single" w:sz="4" w:space="0" w:color="auto"/>
              <w:right w:val="single" w:sz="4" w:space="0" w:color="auto"/>
            </w:tcBorders>
            <w:shd w:val="clear" w:color="auto" w:fill="E0E0E0"/>
          </w:tcPr>
          <w:p w:rsidR="005325AC" w:rsidRPr="000C3D13" w:rsidRDefault="005325AC" w:rsidP="000D30D1">
            <w:pPr>
              <w:jc w:val="both"/>
              <w:rPr>
                <w:b/>
              </w:rPr>
            </w:pPr>
            <w:r w:rsidRPr="000C3D13">
              <w:rPr>
                <w:b/>
              </w:rPr>
              <w:t>Risultato atteso</w:t>
            </w:r>
          </w:p>
          <w:p w:rsidR="005325AC" w:rsidRPr="000C3D13" w:rsidRDefault="005325AC" w:rsidP="000D30D1">
            <w:pPr>
              <w:pStyle w:val="Paragrafoelenco"/>
              <w:spacing w:after="0" w:line="240" w:lineRule="auto"/>
              <w:ind w:left="230"/>
              <w:jc w:val="both"/>
            </w:pPr>
            <w:r w:rsidRPr="000C3D13">
              <w:t>Riduzione di 5 posti letto di DH</w:t>
            </w:r>
          </w:p>
          <w:p w:rsidR="005325AC" w:rsidRPr="000C3D13" w:rsidRDefault="005325AC" w:rsidP="000D30D1">
            <w:pPr>
              <w:pStyle w:val="Paragrafoelenco"/>
              <w:spacing w:after="0" w:line="240" w:lineRule="auto"/>
              <w:ind w:left="230"/>
              <w:jc w:val="both"/>
            </w:pPr>
          </w:p>
        </w:tc>
      </w:tr>
      <w:tr w:rsidR="005325AC" w:rsidRPr="0030525A" w:rsidTr="000D30D1">
        <w:trPr>
          <w:trHeight w:val="359"/>
          <w:jc w:val="center"/>
        </w:trPr>
        <w:tc>
          <w:tcPr>
            <w:tcW w:w="9854" w:type="dxa"/>
            <w:gridSpan w:val="2"/>
            <w:shd w:val="clear" w:color="auto" w:fill="C6D9F1" w:themeFill="text2" w:themeFillTint="33"/>
          </w:tcPr>
          <w:p w:rsidR="005325AC" w:rsidRPr="000331D7" w:rsidRDefault="005325AC" w:rsidP="000D30D1">
            <w:pPr>
              <w:jc w:val="both"/>
              <w:outlineLvl w:val="0"/>
              <w:rPr>
                <w:rFonts w:eastAsia="MS Mincho" w:cs="Calibri"/>
                <w:b/>
              </w:rPr>
            </w:pPr>
            <w:r w:rsidRPr="000331D7">
              <w:rPr>
                <w:rFonts w:eastAsia="MS Mincho" w:cs="Calibri"/>
                <w:b/>
              </w:rPr>
              <w:t>Attuazione al 31.12.2015</w:t>
            </w:r>
          </w:p>
          <w:p w:rsidR="005325AC" w:rsidRPr="000331D7" w:rsidRDefault="005325AC" w:rsidP="000D30D1">
            <w:pPr>
              <w:autoSpaceDE w:val="0"/>
              <w:autoSpaceDN w:val="0"/>
              <w:adjustRightInd w:val="0"/>
              <w:jc w:val="both"/>
              <w:rPr>
                <w:rFonts w:eastAsia="Times New Roman" w:cs="DecimaWERg"/>
              </w:rPr>
            </w:pPr>
            <w:r w:rsidRPr="000331D7">
              <w:rPr>
                <w:rFonts w:eastAsia="Times New Roman" w:cs="DecimaWERg"/>
              </w:rPr>
              <w:t>I posti letto DH del Dipartimento di Oncologia Medico sono stati ridimensionati delle unità richieste.</w:t>
            </w:r>
          </w:p>
          <w:p w:rsidR="005325AC" w:rsidRPr="000331D7" w:rsidRDefault="005325AC" w:rsidP="000D30D1">
            <w:pPr>
              <w:autoSpaceDE w:val="0"/>
              <w:autoSpaceDN w:val="0"/>
              <w:adjustRightInd w:val="0"/>
              <w:jc w:val="both"/>
              <w:rPr>
                <w:rFonts w:eastAsia="Times New Roman" w:cs="DecimaWERg"/>
              </w:rPr>
            </w:pPr>
            <w:r w:rsidRPr="000331D7">
              <w:rPr>
                <w:rFonts w:eastAsia="Times New Roman" w:cs="DecimaWERg"/>
              </w:rPr>
              <w:t>A conclusione del percorso di budget 2016 si è addivenuti alla ridistribuzione della risorsa posti letto DH per struttura in base alla performance assistenziale di specie quali/quantitativa delle medesime, di cui alla comunicazione che sarà effettuata entro il 30 giugno 2016.</w:t>
            </w:r>
          </w:p>
          <w:p w:rsidR="005325AC" w:rsidRPr="000331D7" w:rsidRDefault="005325AC" w:rsidP="000D30D1">
            <w:pPr>
              <w:autoSpaceDE w:val="0"/>
              <w:autoSpaceDN w:val="0"/>
              <w:adjustRightInd w:val="0"/>
              <w:jc w:val="both"/>
              <w:rPr>
                <w:rFonts w:cstheme="minorHAnsi"/>
                <w:b/>
              </w:rPr>
            </w:pPr>
          </w:p>
        </w:tc>
      </w:tr>
      <w:tr w:rsidR="005325AC" w:rsidRPr="0030525A" w:rsidTr="000D30D1">
        <w:trPr>
          <w:trHeight w:val="359"/>
          <w:jc w:val="center"/>
        </w:trPr>
        <w:tc>
          <w:tcPr>
            <w:tcW w:w="9854" w:type="dxa"/>
            <w:gridSpan w:val="2"/>
          </w:tcPr>
          <w:p w:rsidR="005325AC" w:rsidRPr="0030525A" w:rsidRDefault="005325AC" w:rsidP="000D30D1">
            <w:pPr>
              <w:autoSpaceDE w:val="0"/>
              <w:autoSpaceDN w:val="0"/>
              <w:adjustRightInd w:val="0"/>
              <w:rPr>
                <w:rFonts w:cstheme="minorHAnsi"/>
                <w:b/>
              </w:rPr>
            </w:pPr>
            <w:r w:rsidRPr="0030525A">
              <w:rPr>
                <w:rFonts w:cstheme="minorHAnsi"/>
                <w:b/>
              </w:rPr>
              <w:t>Linea 3.1.9 bis Riorganizzazione delle funzioni di CARDIOLOGIA nell’Area Pordenonese</w:t>
            </w:r>
          </w:p>
        </w:tc>
      </w:tr>
      <w:tr w:rsidR="005325AC" w:rsidRPr="0030525A" w:rsidTr="000D30D1">
        <w:trPr>
          <w:jc w:val="center"/>
        </w:trPr>
        <w:tc>
          <w:tcPr>
            <w:tcW w:w="4533" w:type="dxa"/>
            <w:tcBorders>
              <w:bottom w:val="single" w:sz="4" w:space="0" w:color="auto"/>
            </w:tcBorders>
            <w:shd w:val="clear" w:color="auto" w:fill="E0E0E0"/>
          </w:tcPr>
          <w:p w:rsidR="005325AC" w:rsidRPr="0030525A" w:rsidRDefault="005325AC" w:rsidP="000D30D1">
            <w:pPr>
              <w:autoSpaceDE w:val="0"/>
              <w:autoSpaceDN w:val="0"/>
              <w:adjustRightInd w:val="0"/>
              <w:rPr>
                <w:rFonts w:cstheme="minorHAnsi"/>
                <w:b/>
              </w:rPr>
            </w:pPr>
            <w:r w:rsidRPr="0030525A">
              <w:rPr>
                <w:rFonts w:cstheme="minorHAnsi"/>
                <w:b/>
              </w:rPr>
              <w:t>Obiettivo aziendale</w:t>
            </w:r>
          </w:p>
          <w:p w:rsidR="005325AC" w:rsidRPr="0030525A" w:rsidRDefault="005325AC" w:rsidP="000D30D1">
            <w:pPr>
              <w:autoSpaceDE w:val="0"/>
              <w:autoSpaceDN w:val="0"/>
              <w:adjustRightInd w:val="0"/>
              <w:rPr>
                <w:rFonts w:cstheme="minorHAnsi"/>
              </w:rPr>
            </w:pPr>
            <w:r w:rsidRPr="0030525A">
              <w:rPr>
                <w:rFonts w:cstheme="minorHAnsi"/>
              </w:rPr>
              <w:t>Trasferimento della funzione di Cardiologia presente al CRO</w:t>
            </w:r>
          </w:p>
          <w:p w:rsidR="005325AC" w:rsidRPr="0030525A" w:rsidRDefault="005325AC" w:rsidP="000D30D1">
            <w:pPr>
              <w:autoSpaceDE w:val="0"/>
              <w:autoSpaceDN w:val="0"/>
              <w:adjustRightInd w:val="0"/>
              <w:rPr>
                <w:rFonts w:cstheme="minorHAnsi"/>
                <w:b/>
              </w:rPr>
            </w:pPr>
          </w:p>
        </w:tc>
        <w:tc>
          <w:tcPr>
            <w:tcW w:w="5321" w:type="dxa"/>
            <w:tcBorders>
              <w:bottom w:val="single" w:sz="4" w:space="0" w:color="auto"/>
            </w:tcBorders>
            <w:shd w:val="clear" w:color="auto" w:fill="E0E0E0"/>
          </w:tcPr>
          <w:p w:rsidR="005325AC" w:rsidRPr="0030525A" w:rsidRDefault="005325AC" w:rsidP="000D30D1">
            <w:pPr>
              <w:autoSpaceDE w:val="0"/>
              <w:autoSpaceDN w:val="0"/>
              <w:adjustRightInd w:val="0"/>
              <w:rPr>
                <w:rFonts w:cstheme="minorHAnsi"/>
                <w:b/>
              </w:rPr>
            </w:pPr>
            <w:r w:rsidRPr="0030525A">
              <w:rPr>
                <w:rFonts w:cstheme="minorHAnsi"/>
                <w:b/>
              </w:rPr>
              <w:t>Risultato atteso</w:t>
            </w:r>
          </w:p>
          <w:p w:rsidR="005325AC" w:rsidRPr="0030525A" w:rsidRDefault="005325AC" w:rsidP="000D30D1">
            <w:pPr>
              <w:autoSpaceDE w:val="0"/>
              <w:autoSpaceDN w:val="0"/>
              <w:adjustRightInd w:val="0"/>
              <w:spacing w:before="100"/>
              <w:jc w:val="both"/>
              <w:rPr>
                <w:rFonts w:cstheme="minorHAnsi"/>
              </w:rPr>
            </w:pPr>
            <w:r w:rsidRPr="0030525A">
              <w:rPr>
                <w:rFonts w:cstheme="minorHAnsi"/>
              </w:rPr>
              <w:t>La funzione di Cardiologia del CRO è trasferita all’AAS5 (da luglio 2015).</w:t>
            </w:r>
          </w:p>
        </w:tc>
      </w:tr>
      <w:tr w:rsidR="005325AC" w:rsidRPr="0030525A" w:rsidTr="000D30D1">
        <w:trPr>
          <w:jc w:val="center"/>
        </w:trPr>
        <w:tc>
          <w:tcPr>
            <w:tcW w:w="9854" w:type="dxa"/>
            <w:gridSpan w:val="2"/>
            <w:shd w:val="clear" w:color="auto" w:fill="C6D9F1" w:themeFill="text2" w:themeFillTint="33"/>
          </w:tcPr>
          <w:p w:rsidR="005325AC" w:rsidRPr="003006A5" w:rsidRDefault="005325AC" w:rsidP="000D30D1">
            <w:pPr>
              <w:jc w:val="both"/>
              <w:outlineLvl w:val="0"/>
              <w:rPr>
                <w:rFonts w:eastAsia="MS Mincho" w:cs="Calibri"/>
                <w:b/>
              </w:rPr>
            </w:pPr>
            <w:r>
              <w:rPr>
                <w:rFonts w:eastAsia="MS Mincho" w:cs="Calibri"/>
                <w:b/>
              </w:rPr>
              <w:t>Attuazione al 31.12.2015</w:t>
            </w:r>
          </w:p>
          <w:p w:rsidR="005325AC" w:rsidRPr="0030525A" w:rsidRDefault="005325AC" w:rsidP="000D30D1">
            <w:pPr>
              <w:autoSpaceDE w:val="0"/>
              <w:autoSpaceDN w:val="0"/>
              <w:adjustRightInd w:val="0"/>
              <w:jc w:val="both"/>
              <w:rPr>
                <w:rFonts w:cstheme="minorHAnsi"/>
              </w:rPr>
            </w:pPr>
            <w:r w:rsidRPr="00967C50">
              <w:rPr>
                <w:rFonts w:eastAsia="Times New Roman" w:cs="DecimaWERg"/>
              </w:rPr>
              <w:t xml:space="preserve">attività </w:t>
            </w:r>
            <w:r>
              <w:rPr>
                <w:rFonts w:eastAsia="Times New Roman" w:cs="DecimaWERg"/>
              </w:rPr>
              <w:t xml:space="preserve">rinviata </w:t>
            </w:r>
            <w:r w:rsidRPr="00967C50">
              <w:rPr>
                <w:rFonts w:eastAsia="Times New Roman" w:cs="DecimaWERg"/>
              </w:rPr>
              <w:t xml:space="preserve">al </w:t>
            </w:r>
            <w:r>
              <w:rPr>
                <w:rFonts w:eastAsia="Times New Roman" w:cs="DecimaWERg"/>
              </w:rPr>
              <w:t>2016 come da indicazioni contenute nelle linee per la gestione del SSR anno 2016 approvate con DGR n. 2559 del 22.12.2015</w:t>
            </w:r>
            <w:r w:rsidRPr="00967C50">
              <w:rPr>
                <w:rFonts w:eastAsia="Times New Roman" w:cs="DecimaWERg"/>
              </w:rPr>
              <w:t>.</w:t>
            </w:r>
          </w:p>
        </w:tc>
      </w:tr>
      <w:tr w:rsidR="005325AC" w:rsidRPr="0030525A" w:rsidTr="000D30D1">
        <w:trPr>
          <w:trHeight w:val="359"/>
          <w:jc w:val="center"/>
        </w:trPr>
        <w:tc>
          <w:tcPr>
            <w:tcW w:w="9854" w:type="dxa"/>
            <w:gridSpan w:val="2"/>
          </w:tcPr>
          <w:p w:rsidR="005325AC" w:rsidRPr="0030525A" w:rsidRDefault="005325AC" w:rsidP="000D30D1">
            <w:pPr>
              <w:autoSpaceDE w:val="0"/>
              <w:autoSpaceDN w:val="0"/>
              <w:adjustRightInd w:val="0"/>
              <w:rPr>
                <w:rFonts w:cstheme="minorHAnsi"/>
                <w:b/>
              </w:rPr>
            </w:pPr>
            <w:r w:rsidRPr="000C3D13">
              <w:rPr>
                <w:rFonts w:cstheme="minorHAnsi"/>
                <w:b/>
              </w:rPr>
              <w:t>Linea 3.1.11 Riorganizzazione delle funzioni di MEDICINA NUCLEARE nell’Area Pordenonese</w:t>
            </w:r>
          </w:p>
        </w:tc>
      </w:tr>
      <w:tr w:rsidR="005325AC" w:rsidRPr="000C3D13" w:rsidTr="000D30D1">
        <w:trPr>
          <w:jc w:val="center"/>
        </w:trPr>
        <w:tc>
          <w:tcPr>
            <w:tcW w:w="4533" w:type="dxa"/>
            <w:tcBorders>
              <w:bottom w:val="single" w:sz="4" w:space="0" w:color="auto"/>
            </w:tcBorders>
            <w:shd w:val="clear" w:color="auto" w:fill="E0E0E0"/>
          </w:tcPr>
          <w:p w:rsidR="005325AC" w:rsidRPr="000C3D13" w:rsidRDefault="005325AC" w:rsidP="000D30D1">
            <w:pPr>
              <w:adjustRightInd w:val="0"/>
              <w:rPr>
                <w:rFonts w:cstheme="minorHAnsi"/>
                <w:b/>
              </w:rPr>
            </w:pPr>
            <w:r w:rsidRPr="000C3D13">
              <w:rPr>
                <w:rFonts w:cstheme="minorHAnsi"/>
                <w:b/>
              </w:rPr>
              <w:t>Obiettivo aziendale</w:t>
            </w:r>
          </w:p>
          <w:p w:rsidR="005325AC" w:rsidRPr="000C3D13" w:rsidRDefault="005325AC" w:rsidP="000D30D1">
            <w:pPr>
              <w:adjustRightInd w:val="0"/>
              <w:rPr>
                <w:rFonts w:cstheme="minorHAnsi"/>
              </w:rPr>
            </w:pPr>
            <w:r w:rsidRPr="000C3D13">
              <w:rPr>
                <w:rFonts w:cstheme="minorHAnsi"/>
              </w:rPr>
              <w:t>Trasferimento della funzione di Medicina Nucleare presente in AAS5</w:t>
            </w:r>
          </w:p>
        </w:tc>
        <w:tc>
          <w:tcPr>
            <w:tcW w:w="5321" w:type="dxa"/>
            <w:tcBorders>
              <w:bottom w:val="single" w:sz="4" w:space="0" w:color="auto"/>
            </w:tcBorders>
            <w:shd w:val="clear" w:color="auto" w:fill="E0E0E0"/>
          </w:tcPr>
          <w:p w:rsidR="005325AC" w:rsidRPr="000C3D13" w:rsidRDefault="005325AC" w:rsidP="000D30D1">
            <w:pPr>
              <w:adjustRightInd w:val="0"/>
              <w:rPr>
                <w:rFonts w:cstheme="minorHAnsi"/>
                <w:b/>
              </w:rPr>
            </w:pPr>
            <w:r w:rsidRPr="000C3D13">
              <w:rPr>
                <w:rFonts w:cstheme="minorHAnsi"/>
                <w:b/>
              </w:rPr>
              <w:t>Risultato atteso</w:t>
            </w:r>
          </w:p>
          <w:p w:rsidR="005325AC" w:rsidRPr="000C3D13" w:rsidRDefault="005325AC" w:rsidP="000D30D1">
            <w:pPr>
              <w:adjustRightInd w:val="0"/>
              <w:spacing w:before="40"/>
              <w:jc w:val="both"/>
              <w:rPr>
                <w:rFonts w:cstheme="minorHAnsi"/>
              </w:rPr>
            </w:pPr>
            <w:r w:rsidRPr="000C3D13">
              <w:rPr>
                <w:rFonts w:cstheme="minorHAnsi"/>
              </w:rPr>
              <w:t>La funzione di Medicina Nucleare è trasferita dall’AAS5 al CRO (da giugno 2015).</w:t>
            </w:r>
          </w:p>
        </w:tc>
      </w:tr>
      <w:tr w:rsidR="005325AC" w:rsidRPr="0030525A" w:rsidTr="000D30D1">
        <w:trPr>
          <w:jc w:val="center"/>
        </w:trPr>
        <w:tc>
          <w:tcPr>
            <w:tcW w:w="985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325AC" w:rsidRPr="003006A5" w:rsidRDefault="005325AC" w:rsidP="000D30D1">
            <w:pPr>
              <w:jc w:val="both"/>
              <w:outlineLvl w:val="0"/>
              <w:rPr>
                <w:rFonts w:eastAsia="MS Mincho" w:cs="Calibri"/>
                <w:b/>
              </w:rPr>
            </w:pPr>
            <w:r>
              <w:rPr>
                <w:rFonts w:eastAsia="MS Mincho" w:cs="Calibri"/>
                <w:b/>
              </w:rPr>
              <w:t>Attuazione al 31.12.2015</w:t>
            </w:r>
          </w:p>
          <w:p w:rsidR="005325AC" w:rsidRPr="0030525A" w:rsidRDefault="005325AC" w:rsidP="000D30D1">
            <w:pPr>
              <w:jc w:val="both"/>
              <w:outlineLvl w:val="0"/>
              <w:rPr>
                <w:rFonts w:cstheme="minorHAnsi"/>
                <w:b/>
                <w:bCs/>
              </w:rPr>
            </w:pPr>
            <w:r w:rsidRPr="00967C50">
              <w:rPr>
                <w:rFonts w:eastAsia="Times New Roman" w:cs="DecimaWERg"/>
              </w:rPr>
              <w:t xml:space="preserve">attività </w:t>
            </w:r>
            <w:r>
              <w:rPr>
                <w:rFonts w:eastAsia="Times New Roman" w:cs="DecimaWERg"/>
              </w:rPr>
              <w:t xml:space="preserve">rinviata </w:t>
            </w:r>
            <w:r w:rsidRPr="00967C50">
              <w:rPr>
                <w:rFonts w:eastAsia="Times New Roman" w:cs="DecimaWERg"/>
              </w:rPr>
              <w:t xml:space="preserve">al </w:t>
            </w:r>
            <w:r>
              <w:rPr>
                <w:rFonts w:eastAsia="Times New Roman" w:cs="DecimaWERg"/>
              </w:rPr>
              <w:t>2016 come da indicazioni contenute nelle linee per la gestione del SSR anno 2016 approvate con DGR n. 2559 del 22.12.2015</w:t>
            </w:r>
            <w:r w:rsidRPr="00967C50">
              <w:rPr>
                <w:rFonts w:eastAsia="Times New Roman" w:cs="DecimaWERg"/>
              </w:rPr>
              <w:t>.</w:t>
            </w:r>
          </w:p>
        </w:tc>
      </w:tr>
      <w:tr w:rsidR="005325AC" w:rsidRPr="0030525A" w:rsidTr="000D30D1">
        <w:trPr>
          <w:jc w:val="center"/>
        </w:trPr>
        <w:tc>
          <w:tcPr>
            <w:tcW w:w="9854" w:type="dxa"/>
            <w:gridSpan w:val="2"/>
            <w:tcBorders>
              <w:top w:val="single" w:sz="4" w:space="0" w:color="auto"/>
              <w:left w:val="single" w:sz="4" w:space="0" w:color="auto"/>
              <w:bottom w:val="single" w:sz="4" w:space="0" w:color="auto"/>
              <w:right w:val="single" w:sz="4" w:space="0" w:color="auto"/>
            </w:tcBorders>
          </w:tcPr>
          <w:p w:rsidR="005325AC" w:rsidRPr="0030525A" w:rsidRDefault="005325AC" w:rsidP="000D30D1">
            <w:pPr>
              <w:jc w:val="both"/>
              <w:outlineLvl w:val="0"/>
              <w:rPr>
                <w:rFonts w:cstheme="minorHAnsi"/>
              </w:rPr>
            </w:pPr>
            <w:r w:rsidRPr="0030525A">
              <w:rPr>
                <w:rFonts w:cstheme="minorHAnsi"/>
                <w:b/>
                <w:bCs/>
              </w:rPr>
              <w:t xml:space="preserve">Linea </w:t>
            </w:r>
            <w:r w:rsidRPr="0030525A">
              <w:rPr>
                <w:rFonts w:cstheme="minorHAnsi"/>
                <w:b/>
              </w:rPr>
              <w:t>progettuale</w:t>
            </w:r>
            <w:r w:rsidRPr="0030525A">
              <w:rPr>
                <w:rFonts w:cstheme="minorHAnsi"/>
                <w:b/>
                <w:bCs/>
              </w:rPr>
              <w:t xml:space="preserve"> n. 3.2.9 Screening Oncologici</w:t>
            </w:r>
          </w:p>
        </w:tc>
      </w:tr>
      <w:tr w:rsidR="005325AC" w:rsidRPr="0030525A" w:rsidTr="000D3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trHeight w:val="470"/>
          <w:jc w:val="center"/>
        </w:trPr>
        <w:tc>
          <w:tcPr>
            <w:tcW w:w="4533" w:type="dxa"/>
            <w:tcBorders>
              <w:top w:val="single" w:sz="4" w:space="0" w:color="auto"/>
              <w:left w:val="single" w:sz="4" w:space="0" w:color="auto"/>
              <w:bottom w:val="single" w:sz="4" w:space="0" w:color="auto"/>
              <w:right w:val="single" w:sz="8" w:space="0" w:color="000000"/>
            </w:tcBorders>
            <w:shd w:val="clear" w:color="000000" w:fill="E6E6E6"/>
          </w:tcPr>
          <w:p w:rsidR="005325AC" w:rsidRPr="0030525A" w:rsidRDefault="005325AC" w:rsidP="000D30D1">
            <w:pPr>
              <w:autoSpaceDE w:val="0"/>
              <w:autoSpaceDN w:val="0"/>
              <w:adjustRightInd w:val="0"/>
              <w:rPr>
                <w:rFonts w:cstheme="minorHAnsi"/>
                <w:b/>
              </w:rPr>
            </w:pPr>
            <w:r w:rsidRPr="0030525A">
              <w:rPr>
                <w:rFonts w:cstheme="minorHAnsi"/>
                <w:b/>
              </w:rPr>
              <w:t>Obiettivo aziendale</w:t>
            </w:r>
          </w:p>
          <w:p w:rsidR="005325AC" w:rsidRPr="0030525A" w:rsidRDefault="005325AC" w:rsidP="000D30D1">
            <w:pPr>
              <w:jc w:val="both"/>
              <w:rPr>
                <w:rFonts w:cstheme="minorHAnsi"/>
              </w:rPr>
            </w:pPr>
            <w:r w:rsidRPr="0030525A">
              <w:rPr>
                <w:rFonts w:cstheme="minorHAnsi"/>
              </w:rPr>
              <w:t xml:space="preserve">Screening mammografico: </w:t>
            </w:r>
          </w:p>
          <w:p w:rsidR="005325AC" w:rsidRPr="00F93476" w:rsidRDefault="005325AC" w:rsidP="008A29F1">
            <w:pPr>
              <w:pStyle w:val="Paragrafoelenco"/>
              <w:numPr>
                <w:ilvl w:val="0"/>
                <w:numId w:val="22"/>
              </w:numPr>
              <w:spacing w:after="0" w:line="240" w:lineRule="auto"/>
              <w:contextualSpacing w:val="0"/>
              <w:jc w:val="both"/>
              <w:rPr>
                <w:rFonts w:cstheme="minorHAnsi"/>
              </w:rPr>
            </w:pPr>
            <w:r w:rsidRPr="00F93476">
              <w:rPr>
                <w:rFonts w:cstheme="minorHAnsi"/>
              </w:rPr>
              <w:t xml:space="preserve">garantire una percentuale di controlli di </w:t>
            </w:r>
            <w:r w:rsidRPr="00F93476">
              <w:rPr>
                <w:rFonts w:cstheme="minorHAnsi"/>
              </w:rPr>
              <w:lastRenderedPageBreak/>
              <w:t>secondo livello a 6 mesi / 1 anno (</w:t>
            </w:r>
            <w:proofErr w:type="spellStart"/>
            <w:r w:rsidRPr="00F93476">
              <w:rPr>
                <w:rFonts w:cstheme="minorHAnsi"/>
              </w:rPr>
              <w:t>early</w:t>
            </w:r>
            <w:proofErr w:type="spellEnd"/>
            <w:r w:rsidRPr="00F93476">
              <w:rPr>
                <w:rFonts w:cstheme="minorHAnsi"/>
              </w:rPr>
              <w:t xml:space="preserve"> </w:t>
            </w:r>
            <w:proofErr w:type="spellStart"/>
            <w:r w:rsidRPr="00F93476">
              <w:rPr>
                <w:rFonts w:cstheme="minorHAnsi"/>
              </w:rPr>
              <w:t>recall</w:t>
            </w:r>
            <w:proofErr w:type="spellEnd"/>
            <w:r w:rsidRPr="00F93476">
              <w:rPr>
                <w:rFonts w:cstheme="minorHAnsi"/>
              </w:rPr>
              <w:t>) in linea con le raccomandazioni GISMA ed europee</w:t>
            </w:r>
          </w:p>
          <w:p w:rsidR="005325AC" w:rsidRPr="00F93476" w:rsidRDefault="005325AC" w:rsidP="008A29F1">
            <w:pPr>
              <w:pStyle w:val="Paragrafoelenco"/>
              <w:numPr>
                <w:ilvl w:val="0"/>
                <w:numId w:val="22"/>
              </w:numPr>
              <w:spacing w:after="0" w:line="240" w:lineRule="auto"/>
              <w:contextualSpacing w:val="0"/>
              <w:jc w:val="both"/>
              <w:rPr>
                <w:rFonts w:cstheme="minorHAnsi"/>
              </w:rPr>
            </w:pPr>
            <w:r w:rsidRPr="00F93476">
              <w:rPr>
                <w:rFonts w:cstheme="minorHAnsi"/>
              </w:rPr>
              <w:t xml:space="preserve">garantire una percentuale di esami negativi </w:t>
            </w:r>
            <w:proofErr w:type="spellStart"/>
            <w:r w:rsidRPr="00F93476">
              <w:rPr>
                <w:rFonts w:cstheme="minorHAnsi"/>
              </w:rPr>
              <w:t>refertati</w:t>
            </w:r>
            <w:proofErr w:type="spellEnd"/>
            <w:r w:rsidRPr="00F93476">
              <w:rPr>
                <w:rFonts w:cstheme="minorHAnsi"/>
              </w:rPr>
              <w:t xml:space="preserve"> entro 15 giorni dall’esecuzione per lo screening di primo livello</w:t>
            </w:r>
          </w:p>
          <w:p w:rsidR="005325AC" w:rsidRPr="00F93476" w:rsidRDefault="005325AC" w:rsidP="008A29F1">
            <w:pPr>
              <w:pStyle w:val="Paragrafoelenco"/>
              <w:numPr>
                <w:ilvl w:val="0"/>
                <w:numId w:val="22"/>
              </w:numPr>
              <w:spacing w:after="0" w:line="240" w:lineRule="auto"/>
              <w:contextualSpacing w:val="0"/>
              <w:jc w:val="both"/>
              <w:rPr>
                <w:rFonts w:cstheme="minorHAnsi"/>
              </w:rPr>
            </w:pPr>
            <w:r w:rsidRPr="00F93476">
              <w:rPr>
                <w:rFonts w:cstheme="minorHAnsi"/>
              </w:rPr>
              <w:t>migliorare l’offerta di screening e diagnosi precoce del tumore della mammella</w:t>
            </w:r>
          </w:p>
        </w:tc>
        <w:tc>
          <w:tcPr>
            <w:tcW w:w="5321" w:type="dxa"/>
            <w:tcBorders>
              <w:top w:val="single" w:sz="4" w:space="0" w:color="auto"/>
              <w:left w:val="single" w:sz="8" w:space="0" w:color="auto"/>
              <w:bottom w:val="single" w:sz="4" w:space="0" w:color="auto"/>
              <w:right w:val="single" w:sz="4" w:space="0" w:color="auto"/>
            </w:tcBorders>
            <w:shd w:val="clear" w:color="000000" w:fill="E6E6E6"/>
          </w:tcPr>
          <w:p w:rsidR="005325AC" w:rsidRDefault="005325AC" w:rsidP="000D30D1">
            <w:pPr>
              <w:jc w:val="both"/>
              <w:rPr>
                <w:rFonts w:cstheme="minorHAnsi"/>
                <w:b/>
              </w:rPr>
            </w:pPr>
            <w:r w:rsidRPr="003A3593">
              <w:rPr>
                <w:rFonts w:cstheme="minorHAnsi"/>
                <w:b/>
              </w:rPr>
              <w:lastRenderedPageBreak/>
              <w:t xml:space="preserve">Risultato atteso </w:t>
            </w:r>
          </w:p>
          <w:p w:rsidR="005325AC" w:rsidRDefault="005325AC" w:rsidP="000D30D1">
            <w:pPr>
              <w:jc w:val="both"/>
              <w:rPr>
                <w:rFonts w:cstheme="minorHAnsi"/>
                <w:b/>
              </w:rPr>
            </w:pPr>
          </w:p>
          <w:p w:rsidR="005325AC" w:rsidRPr="003A3593" w:rsidRDefault="005325AC" w:rsidP="000D30D1">
            <w:pPr>
              <w:jc w:val="both"/>
              <w:rPr>
                <w:rFonts w:cstheme="minorHAnsi"/>
                <w:b/>
              </w:rPr>
            </w:pPr>
          </w:p>
          <w:p w:rsidR="005325AC" w:rsidRDefault="005325AC" w:rsidP="008A29F1">
            <w:pPr>
              <w:pStyle w:val="Paragrafoelenco"/>
              <w:numPr>
                <w:ilvl w:val="0"/>
                <w:numId w:val="20"/>
              </w:numPr>
              <w:spacing w:after="0" w:line="240" w:lineRule="auto"/>
              <w:ind w:left="490"/>
              <w:contextualSpacing w:val="0"/>
              <w:jc w:val="both"/>
              <w:rPr>
                <w:rFonts w:cstheme="minorHAnsi"/>
              </w:rPr>
            </w:pPr>
            <w:r w:rsidRPr="00E767DE">
              <w:rPr>
                <w:rFonts w:cstheme="minorHAnsi"/>
              </w:rPr>
              <w:t xml:space="preserve">&lt;10% (casi con esito di secondo livello “sospeso”/ totale dei casi chiusi dall’unità senologica) </w:t>
            </w:r>
          </w:p>
          <w:p w:rsidR="005325AC" w:rsidRPr="00E767DE" w:rsidRDefault="005325AC" w:rsidP="000D30D1">
            <w:pPr>
              <w:pStyle w:val="Paragrafoelenco"/>
              <w:spacing w:after="0" w:line="240" w:lineRule="auto"/>
              <w:ind w:left="490" w:hanging="360"/>
              <w:jc w:val="both"/>
              <w:rPr>
                <w:rFonts w:cstheme="minorHAnsi"/>
              </w:rPr>
            </w:pPr>
          </w:p>
          <w:p w:rsidR="005325AC" w:rsidRDefault="005325AC" w:rsidP="008A29F1">
            <w:pPr>
              <w:pStyle w:val="Paragrafoelenco"/>
              <w:numPr>
                <w:ilvl w:val="0"/>
                <w:numId w:val="20"/>
              </w:numPr>
              <w:spacing w:after="0" w:line="240" w:lineRule="auto"/>
              <w:ind w:left="490"/>
              <w:contextualSpacing w:val="0"/>
              <w:jc w:val="both"/>
              <w:rPr>
                <w:rFonts w:cstheme="minorHAnsi"/>
              </w:rPr>
            </w:pPr>
            <w:r>
              <w:rPr>
                <w:rFonts w:cstheme="minorHAnsi"/>
              </w:rPr>
              <w:t xml:space="preserve">&gt; </w:t>
            </w:r>
            <w:r w:rsidRPr="00E767DE">
              <w:rPr>
                <w:rFonts w:cstheme="minorHAnsi"/>
              </w:rPr>
              <w:t xml:space="preserve">90% </w:t>
            </w:r>
          </w:p>
          <w:p w:rsidR="005325AC" w:rsidRPr="003E1D53" w:rsidRDefault="005325AC" w:rsidP="000D30D1">
            <w:pPr>
              <w:pStyle w:val="Paragrafoelenco"/>
              <w:rPr>
                <w:rFonts w:cstheme="minorHAnsi"/>
              </w:rPr>
            </w:pPr>
          </w:p>
          <w:p w:rsidR="005325AC" w:rsidRDefault="005325AC" w:rsidP="000D30D1">
            <w:pPr>
              <w:pStyle w:val="Paragrafoelenco"/>
              <w:spacing w:after="0" w:line="240" w:lineRule="auto"/>
              <w:ind w:left="490"/>
              <w:jc w:val="both"/>
              <w:rPr>
                <w:rFonts w:cstheme="minorHAnsi"/>
              </w:rPr>
            </w:pPr>
          </w:p>
          <w:p w:rsidR="005325AC" w:rsidRPr="00E767DE" w:rsidRDefault="005325AC" w:rsidP="008A29F1">
            <w:pPr>
              <w:pStyle w:val="Paragrafoelenco"/>
              <w:numPr>
                <w:ilvl w:val="0"/>
                <w:numId w:val="20"/>
              </w:numPr>
              <w:spacing w:after="0" w:line="240" w:lineRule="auto"/>
              <w:ind w:left="490"/>
              <w:contextualSpacing w:val="0"/>
              <w:jc w:val="both"/>
              <w:rPr>
                <w:rFonts w:cstheme="minorHAnsi"/>
              </w:rPr>
            </w:pPr>
            <w:r w:rsidRPr="00E767DE">
              <w:rPr>
                <w:rFonts w:cstheme="minorHAnsi"/>
              </w:rPr>
              <w:t xml:space="preserve">Collaborazione alla stesura di un protocollo condiviso con i professionisti per l’identificazione e la presa in carico delle donne con profilo di rischio </w:t>
            </w:r>
            <w:proofErr w:type="spellStart"/>
            <w:r w:rsidRPr="00E767DE">
              <w:rPr>
                <w:rFonts w:cstheme="minorHAnsi"/>
              </w:rPr>
              <w:t>eredo-familiare</w:t>
            </w:r>
            <w:proofErr w:type="spellEnd"/>
          </w:p>
        </w:tc>
      </w:tr>
      <w:tr w:rsidR="005325AC" w:rsidRPr="0030525A" w:rsidTr="000D30D1">
        <w:trPr>
          <w:trHeight w:val="1655"/>
          <w:jc w:val="center"/>
        </w:trPr>
        <w:tc>
          <w:tcPr>
            <w:tcW w:w="985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325AC" w:rsidRPr="000C564F" w:rsidRDefault="005325AC" w:rsidP="000D30D1">
            <w:pPr>
              <w:jc w:val="both"/>
              <w:outlineLvl w:val="0"/>
              <w:rPr>
                <w:rFonts w:eastAsia="MS Mincho" w:cs="Calibri"/>
                <w:b/>
              </w:rPr>
            </w:pPr>
            <w:r w:rsidRPr="000C564F">
              <w:rPr>
                <w:rFonts w:eastAsia="MS Mincho" w:cs="Calibri"/>
                <w:b/>
              </w:rPr>
              <w:lastRenderedPageBreak/>
              <w:t>Attuazione al 31.12.2015</w:t>
            </w:r>
          </w:p>
          <w:p w:rsidR="005325AC" w:rsidRPr="000C564F" w:rsidRDefault="005325AC" w:rsidP="000D30D1">
            <w:pPr>
              <w:jc w:val="both"/>
              <w:outlineLvl w:val="0"/>
              <w:rPr>
                <w:rFonts w:cs="DecimaWE Rg"/>
                <w:b/>
                <w:bCs/>
              </w:rPr>
            </w:pPr>
            <w:r w:rsidRPr="000C564F">
              <w:rPr>
                <w:rFonts w:cs="DecimaWE Rg"/>
                <w:b/>
                <w:bCs/>
              </w:rPr>
              <w:t>L’attività aziendale è in linea:</w:t>
            </w:r>
          </w:p>
          <w:p w:rsidR="005325AC" w:rsidRPr="000C564F" w:rsidRDefault="005325AC" w:rsidP="008A29F1">
            <w:pPr>
              <w:pStyle w:val="Paragrafoelenco"/>
              <w:numPr>
                <w:ilvl w:val="0"/>
                <w:numId w:val="21"/>
              </w:numPr>
              <w:spacing w:after="0" w:line="240" w:lineRule="auto"/>
              <w:contextualSpacing w:val="0"/>
              <w:jc w:val="both"/>
              <w:outlineLvl w:val="0"/>
              <w:rPr>
                <w:rFonts w:cs="DecimaWE Rg"/>
                <w:bCs/>
              </w:rPr>
            </w:pPr>
            <w:r>
              <w:rPr>
                <w:rFonts w:cs="DecimaWE Rg"/>
                <w:bCs/>
              </w:rPr>
              <w:t>7,39</w:t>
            </w:r>
            <w:r w:rsidRPr="000C564F">
              <w:rPr>
                <w:rFonts w:cs="DecimaWE Rg"/>
                <w:bCs/>
              </w:rPr>
              <w:t>%</w:t>
            </w:r>
          </w:p>
          <w:p w:rsidR="005325AC" w:rsidRPr="00336026" w:rsidRDefault="005325AC" w:rsidP="008A29F1">
            <w:pPr>
              <w:pStyle w:val="Paragrafoelenco"/>
              <w:numPr>
                <w:ilvl w:val="0"/>
                <w:numId w:val="21"/>
              </w:numPr>
              <w:spacing w:after="0" w:line="240" w:lineRule="auto"/>
              <w:contextualSpacing w:val="0"/>
              <w:jc w:val="both"/>
              <w:outlineLvl w:val="0"/>
              <w:rPr>
                <w:rFonts w:cs="DecimaWE Rg"/>
                <w:bCs/>
              </w:rPr>
            </w:pPr>
            <w:r w:rsidRPr="00336026">
              <w:rPr>
                <w:rFonts w:cs="DecimaWE Rg"/>
                <w:bCs/>
              </w:rPr>
              <w:t>99,91% AAS 5 di residenza</w:t>
            </w:r>
          </w:p>
          <w:p w:rsidR="005325AC" w:rsidRPr="000C564F" w:rsidRDefault="005325AC" w:rsidP="008A29F1">
            <w:pPr>
              <w:pStyle w:val="Paragrafoelenco"/>
              <w:numPr>
                <w:ilvl w:val="0"/>
                <w:numId w:val="21"/>
              </w:numPr>
              <w:spacing w:after="0" w:line="240" w:lineRule="auto"/>
              <w:contextualSpacing w:val="0"/>
              <w:jc w:val="both"/>
            </w:pPr>
            <w:r w:rsidRPr="00336026">
              <w:rPr>
                <w:rFonts w:eastAsia="Times New Roman" w:cs="Arial"/>
              </w:rPr>
              <w:t xml:space="preserve">È attivo in istituto un protocollo per le donne con profilo di rischio </w:t>
            </w:r>
            <w:proofErr w:type="spellStart"/>
            <w:r w:rsidRPr="00336026">
              <w:rPr>
                <w:rFonts w:eastAsia="Times New Roman" w:cs="Arial"/>
              </w:rPr>
              <w:t>eredo-familiare</w:t>
            </w:r>
            <w:proofErr w:type="spellEnd"/>
            <w:r w:rsidRPr="00336026">
              <w:rPr>
                <w:rFonts w:eastAsia="Times New Roman" w:cs="Arial"/>
              </w:rPr>
              <w:t xml:space="preserve"> che vede i</w:t>
            </w:r>
            <w:r>
              <w:rPr>
                <w:rFonts w:eastAsia="Times New Roman" w:cs="Arial"/>
              </w:rPr>
              <w:t>l</w:t>
            </w:r>
            <w:r w:rsidRPr="00336026">
              <w:rPr>
                <w:rFonts w:eastAsia="Times New Roman" w:cs="Arial"/>
              </w:rPr>
              <w:t xml:space="preserve"> coinvolgimento di diversi professionisti.</w:t>
            </w:r>
          </w:p>
        </w:tc>
      </w:tr>
      <w:tr w:rsidR="005325AC" w:rsidRPr="00336026" w:rsidTr="000D3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trHeight w:val="470"/>
          <w:jc w:val="center"/>
        </w:trPr>
        <w:tc>
          <w:tcPr>
            <w:tcW w:w="4533" w:type="dxa"/>
            <w:tcBorders>
              <w:top w:val="single" w:sz="4" w:space="0" w:color="auto"/>
              <w:left w:val="single" w:sz="4" w:space="0" w:color="auto"/>
              <w:bottom w:val="single" w:sz="4" w:space="0" w:color="auto"/>
              <w:right w:val="single" w:sz="8" w:space="0" w:color="000000"/>
            </w:tcBorders>
            <w:shd w:val="clear" w:color="000000" w:fill="E6E6E6"/>
          </w:tcPr>
          <w:p w:rsidR="005325AC" w:rsidRPr="00336026" w:rsidRDefault="005325AC" w:rsidP="000D30D1">
            <w:pPr>
              <w:autoSpaceDE w:val="0"/>
              <w:autoSpaceDN w:val="0"/>
              <w:adjustRightInd w:val="0"/>
              <w:rPr>
                <w:rFonts w:cstheme="minorHAnsi"/>
                <w:b/>
              </w:rPr>
            </w:pPr>
            <w:r w:rsidRPr="00336026">
              <w:rPr>
                <w:rFonts w:cstheme="minorHAnsi"/>
                <w:b/>
              </w:rPr>
              <w:t>Obiettivo aziendale</w:t>
            </w:r>
          </w:p>
          <w:p w:rsidR="005325AC" w:rsidRPr="00336026" w:rsidRDefault="005325AC" w:rsidP="000D30D1">
            <w:pPr>
              <w:jc w:val="both"/>
            </w:pPr>
            <w:r w:rsidRPr="00336026">
              <w:t xml:space="preserve">Screening dei tumori del collo dell’utero: </w:t>
            </w:r>
          </w:p>
          <w:p w:rsidR="005325AC" w:rsidRPr="00336026" w:rsidRDefault="005325AC" w:rsidP="000D30D1">
            <w:pPr>
              <w:jc w:val="both"/>
            </w:pPr>
            <w:r w:rsidRPr="00336026">
              <w:t>progettazione e riconversione del programma di screening dei tumori del collo dell’utero</w:t>
            </w:r>
          </w:p>
        </w:tc>
        <w:tc>
          <w:tcPr>
            <w:tcW w:w="5321" w:type="dxa"/>
            <w:tcBorders>
              <w:top w:val="single" w:sz="4" w:space="0" w:color="auto"/>
              <w:left w:val="single" w:sz="8" w:space="0" w:color="auto"/>
              <w:bottom w:val="single" w:sz="4" w:space="0" w:color="auto"/>
              <w:right w:val="single" w:sz="4" w:space="0" w:color="auto"/>
            </w:tcBorders>
            <w:shd w:val="clear" w:color="000000" w:fill="E6E6E6"/>
          </w:tcPr>
          <w:p w:rsidR="005325AC" w:rsidRPr="00336026" w:rsidRDefault="005325AC" w:rsidP="000D30D1">
            <w:pPr>
              <w:jc w:val="both"/>
              <w:rPr>
                <w:b/>
              </w:rPr>
            </w:pPr>
            <w:r w:rsidRPr="00336026">
              <w:rPr>
                <w:b/>
              </w:rPr>
              <w:t xml:space="preserve">Risultato atteso </w:t>
            </w:r>
          </w:p>
          <w:p w:rsidR="005325AC" w:rsidRPr="00336026" w:rsidRDefault="005325AC" w:rsidP="008A29F1">
            <w:pPr>
              <w:pStyle w:val="Paragrafoelenco"/>
              <w:numPr>
                <w:ilvl w:val="0"/>
                <w:numId w:val="15"/>
              </w:numPr>
              <w:contextualSpacing w:val="0"/>
              <w:jc w:val="both"/>
              <w:rPr>
                <w:rFonts w:cs="Times New Roman"/>
              </w:rPr>
            </w:pPr>
            <w:r w:rsidRPr="00336026">
              <w:rPr>
                <w:rFonts w:cs="Times New Roman"/>
              </w:rPr>
              <w:t>Partecipazione alla fase preparatoria come da piano nazionale</w:t>
            </w:r>
          </w:p>
        </w:tc>
      </w:tr>
      <w:tr w:rsidR="005325AC" w:rsidRPr="0030525A" w:rsidTr="000D30D1">
        <w:trPr>
          <w:jc w:val="center"/>
        </w:trPr>
        <w:tc>
          <w:tcPr>
            <w:tcW w:w="985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325AC" w:rsidRPr="00336026" w:rsidRDefault="005325AC" w:rsidP="000D30D1">
            <w:pPr>
              <w:jc w:val="both"/>
              <w:outlineLvl w:val="0"/>
              <w:rPr>
                <w:rFonts w:eastAsia="MS Mincho" w:cs="Calibri"/>
                <w:b/>
              </w:rPr>
            </w:pPr>
            <w:r w:rsidRPr="00336026">
              <w:rPr>
                <w:rFonts w:eastAsia="MS Mincho" w:cs="Calibri"/>
                <w:b/>
              </w:rPr>
              <w:t>Attuazione al 31.12.2015</w:t>
            </w:r>
          </w:p>
          <w:p w:rsidR="005325AC" w:rsidRPr="003E1D53" w:rsidRDefault="005325AC" w:rsidP="000D30D1">
            <w:pPr>
              <w:jc w:val="both"/>
              <w:outlineLvl w:val="0"/>
              <w:rPr>
                <w:rFonts w:cstheme="minorHAnsi"/>
                <w:bCs/>
              </w:rPr>
            </w:pPr>
            <w:r w:rsidRPr="00336026">
              <w:rPr>
                <w:rFonts w:cstheme="minorHAnsi"/>
                <w:bCs/>
              </w:rPr>
              <w:t>In attesa di indicazioni regionali</w:t>
            </w:r>
          </w:p>
        </w:tc>
      </w:tr>
      <w:tr w:rsidR="005325AC" w:rsidRPr="000C564F" w:rsidTr="000D3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trHeight w:val="980"/>
          <w:jc w:val="center"/>
        </w:trPr>
        <w:tc>
          <w:tcPr>
            <w:tcW w:w="4533" w:type="dxa"/>
            <w:tcBorders>
              <w:top w:val="single" w:sz="4" w:space="0" w:color="auto"/>
              <w:left w:val="single" w:sz="4" w:space="0" w:color="auto"/>
              <w:bottom w:val="single" w:sz="4" w:space="0" w:color="auto"/>
              <w:right w:val="single" w:sz="8" w:space="0" w:color="000000"/>
            </w:tcBorders>
            <w:shd w:val="clear" w:color="000000" w:fill="E6E6E6"/>
          </w:tcPr>
          <w:p w:rsidR="005325AC" w:rsidRPr="009D6041" w:rsidRDefault="005325AC" w:rsidP="000D30D1">
            <w:pPr>
              <w:autoSpaceDE w:val="0"/>
              <w:autoSpaceDN w:val="0"/>
              <w:adjustRightInd w:val="0"/>
              <w:rPr>
                <w:rFonts w:cstheme="minorHAnsi"/>
                <w:b/>
              </w:rPr>
            </w:pPr>
            <w:r w:rsidRPr="009D6041">
              <w:rPr>
                <w:rFonts w:cstheme="minorHAnsi"/>
                <w:b/>
              </w:rPr>
              <w:t>Obiettivo aziendale</w:t>
            </w:r>
          </w:p>
          <w:p w:rsidR="005325AC" w:rsidRPr="009D6041" w:rsidRDefault="005325AC" w:rsidP="000D30D1">
            <w:pPr>
              <w:jc w:val="both"/>
            </w:pPr>
            <w:r w:rsidRPr="009D6041">
              <w:t>Screening oncologici: garantire l’attività formativa</w:t>
            </w:r>
          </w:p>
        </w:tc>
        <w:tc>
          <w:tcPr>
            <w:tcW w:w="5321" w:type="dxa"/>
            <w:tcBorders>
              <w:top w:val="single" w:sz="4" w:space="0" w:color="auto"/>
              <w:left w:val="single" w:sz="8" w:space="0" w:color="auto"/>
              <w:bottom w:val="single" w:sz="4" w:space="0" w:color="auto"/>
              <w:right w:val="single" w:sz="4" w:space="0" w:color="auto"/>
            </w:tcBorders>
            <w:shd w:val="clear" w:color="000000" w:fill="E6E6E6"/>
          </w:tcPr>
          <w:p w:rsidR="005325AC" w:rsidRPr="009D6041" w:rsidRDefault="005325AC" w:rsidP="000D30D1">
            <w:pPr>
              <w:jc w:val="both"/>
              <w:rPr>
                <w:b/>
              </w:rPr>
            </w:pPr>
            <w:r w:rsidRPr="009D6041">
              <w:rPr>
                <w:b/>
              </w:rPr>
              <w:t xml:space="preserve">Risultato atteso </w:t>
            </w:r>
          </w:p>
          <w:p w:rsidR="005325AC" w:rsidRPr="009D6041" w:rsidRDefault="005325AC" w:rsidP="000D30D1">
            <w:pPr>
              <w:pStyle w:val="Paragrafoelenco"/>
              <w:jc w:val="both"/>
              <w:rPr>
                <w:rFonts w:cs="Times New Roman"/>
              </w:rPr>
            </w:pPr>
            <w:r w:rsidRPr="009D6041">
              <w:rPr>
                <w:rFonts w:cs="Times New Roman"/>
              </w:rPr>
              <w:t>realizzare la formazione degli operatori sanitari dei centri di primo e secondo livello della regione.</w:t>
            </w:r>
          </w:p>
        </w:tc>
      </w:tr>
      <w:tr w:rsidR="005325AC" w:rsidRPr="0030525A" w:rsidTr="000D30D1">
        <w:trPr>
          <w:jc w:val="center"/>
        </w:trPr>
        <w:tc>
          <w:tcPr>
            <w:tcW w:w="985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325AC" w:rsidRPr="009B73C8" w:rsidRDefault="005325AC" w:rsidP="000D30D1">
            <w:pPr>
              <w:jc w:val="both"/>
              <w:outlineLvl w:val="0"/>
              <w:rPr>
                <w:rFonts w:eastAsia="MS Mincho" w:cs="Calibri"/>
                <w:b/>
              </w:rPr>
            </w:pPr>
            <w:r>
              <w:rPr>
                <w:rFonts w:eastAsia="MS Mincho" w:cs="Calibri"/>
                <w:b/>
              </w:rPr>
              <w:t>Attuazione al 31.12.2015</w:t>
            </w:r>
          </w:p>
          <w:p w:rsidR="005325AC" w:rsidRDefault="005325AC" w:rsidP="000D30D1">
            <w:pPr>
              <w:jc w:val="both"/>
              <w:outlineLvl w:val="0"/>
            </w:pPr>
            <w:r w:rsidRPr="003D777C">
              <w:rPr>
                <w:rFonts w:cs="DecimaWE Rg"/>
                <w:bCs/>
                <w:u w:val="single"/>
              </w:rPr>
              <w:t xml:space="preserve">screening del </w:t>
            </w:r>
            <w:proofErr w:type="spellStart"/>
            <w:r w:rsidRPr="003D777C">
              <w:rPr>
                <w:u w:val="single"/>
              </w:rPr>
              <w:t>cervicocarcinoma</w:t>
            </w:r>
            <w:proofErr w:type="spellEnd"/>
            <w:r>
              <w:t>:</w:t>
            </w:r>
            <w:r w:rsidRPr="009B73C8">
              <w:rPr>
                <w:rFonts w:cs="DecimaWE Rg"/>
                <w:bCs/>
              </w:rPr>
              <w:t xml:space="preserve"> </w:t>
            </w:r>
            <w:r>
              <w:t xml:space="preserve">è proseguita la formazione dei ginecologi </w:t>
            </w:r>
            <w:proofErr w:type="spellStart"/>
            <w:r>
              <w:t>colposcopisti</w:t>
            </w:r>
            <w:proofErr w:type="spellEnd"/>
            <w:r>
              <w:t xml:space="preserve"> dei centri di secondo livello</w:t>
            </w:r>
          </w:p>
          <w:p w:rsidR="005325AC" w:rsidRDefault="005325AC" w:rsidP="000D30D1">
            <w:pPr>
              <w:jc w:val="both"/>
              <w:outlineLvl w:val="0"/>
            </w:pPr>
            <w:r w:rsidRPr="003D777C">
              <w:rPr>
                <w:u w:val="single"/>
              </w:rPr>
              <w:t>screening del cancro colo-rettale</w:t>
            </w:r>
            <w:r>
              <w:t xml:space="preserve">: la formazione è stata </w:t>
            </w:r>
            <w:r w:rsidRPr="003D777C">
              <w:t>realizzata dagli operatori dell’Istituto con la partecipazione a convegni e con pubblicazioni che trattano dello screening</w:t>
            </w:r>
          </w:p>
          <w:p w:rsidR="005325AC" w:rsidRPr="003C21A9" w:rsidRDefault="005325AC" w:rsidP="000D30D1">
            <w:pPr>
              <w:jc w:val="both"/>
              <w:outlineLvl w:val="0"/>
            </w:pPr>
            <w:r w:rsidRPr="003D777C">
              <w:rPr>
                <w:u w:val="single"/>
              </w:rPr>
              <w:t>screening mammografico</w:t>
            </w:r>
            <w:r>
              <w:t>: nell’ottica di una riorganizzazione delle persone di riferimento dell’attività di screening regionale della mammella, l’attività di formazione è stata rinviata al 2016</w:t>
            </w:r>
          </w:p>
        </w:tc>
      </w:tr>
      <w:tr w:rsidR="005325AC" w:rsidRPr="0030525A" w:rsidTr="000D3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194"/>
          <w:jc w:val="center"/>
        </w:trPr>
        <w:tc>
          <w:tcPr>
            <w:tcW w:w="98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5325AC" w:rsidRPr="0030525A" w:rsidRDefault="005325AC" w:rsidP="000D30D1">
            <w:pPr>
              <w:jc w:val="both"/>
              <w:rPr>
                <w:rFonts w:eastAsia="MS Mincho"/>
                <w:b/>
              </w:rPr>
            </w:pPr>
            <w:r w:rsidRPr="0030525A">
              <w:rPr>
                <w:b/>
                <w:bCs/>
              </w:rPr>
              <w:t xml:space="preserve">Linea </w:t>
            </w:r>
            <w:r w:rsidRPr="0030525A">
              <w:rPr>
                <w:b/>
              </w:rPr>
              <w:t>progettuale</w:t>
            </w:r>
            <w:r w:rsidRPr="0030525A">
              <w:rPr>
                <w:b/>
                <w:bCs/>
              </w:rPr>
              <w:t xml:space="preserve"> n. 3.3.3 Programmazione degli interventi socio-sanitari</w:t>
            </w:r>
          </w:p>
        </w:tc>
      </w:tr>
      <w:tr w:rsidR="005325AC" w:rsidRPr="0030525A" w:rsidTr="000D3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trHeight w:val="1907"/>
          <w:jc w:val="center"/>
        </w:trPr>
        <w:tc>
          <w:tcPr>
            <w:tcW w:w="4533" w:type="dxa"/>
            <w:tcBorders>
              <w:top w:val="single" w:sz="4" w:space="0" w:color="auto"/>
              <w:left w:val="single" w:sz="4" w:space="0" w:color="auto"/>
              <w:bottom w:val="single" w:sz="4" w:space="0" w:color="auto"/>
              <w:right w:val="single" w:sz="8" w:space="0" w:color="000000"/>
            </w:tcBorders>
            <w:shd w:val="clear" w:color="000000" w:fill="D9D9D9"/>
          </w:tcPr>
          <w:p w:rsidR="005325AC" w:rsidRPr="003A3593" w:rsidRDefault="005325AC" w:rsidP="000D30D1">
            <w:pPr>
              <w:jc w:val="both"/>
              <w:rPr>
                <w:rFonts w:cstheme="minorHAnsi"/>
                <w:b/>
              </w:rPr>
            </w:pPr>
            <w:r w:rsidRPr="003A3593">
              <w:rPr>
                <w:rFonts w:cstheme="minorHAnsi"/>
                <w:b/>
              </w:rPr>
              <w:lastRenderedPageBreak/>
              <w:t>Obiettivo aziendale</w:t>
            </w:r>
          </w:p>
          <w:p w:rsidR="005325AC" w:rsidRPr="0030525A" w:rsidRDefault="005325AC" w:rsidP="000D30D1">
            <w:pPr>
              <w:pStyle w:val="Paragrafoelenco10"/>
              <w:spacing w:line="240" w:lineRule="auto"/>
              <w:ind w:left="0"/>
              <w:jc w:val="both"/>
              <w:rPr>
                <w:rFonts w:asciiTheme="minorHAnsi" w:hAnsiTheme="minorHAnsi" w:cstheme="minorHAnsi"/>
              </w:rPr>
            </w:pPr>
            <w:r w:rsidRPr="0030525A">
              <w:rPr>
                <w:rFonts w:asciiTheme="minorHAnsi" w:hAnsiTheme="minorHAnsi" w:cstheme="minorHAnsi"/>
              </w:rPr>
              <w:t>Riabilitazione oncologica</w:t>
            </w:r>
          </w:p>
          <w:p w:rsidR="005325AC" w:rsidRPr="0030525A" w:rsidRDefault="005325AC" w:rsidP="000D30D1">
            <w:pPr>
              <w:pStyle w:val="Paragrafoelenco10"/>
              <w:spacing w:line="240" w:lineRule="auto"/>
              <w:ind w:left="0"/>
              <w:jc w:val="both"/>
              <w:rPr>
                <w:rFonts w:asciiTheme="minorHAnsi" w:hAnsiTheme="minorHAnsi" w:cstheme="minorHAnsi"/>
              </w:rPr>
            </w:pPr>
          </w:p>
        </w:tc>
        <w:tc>
          <w:tcPr>
            <w:tcW w:w="5321" w:type="dxa"/>
            <w:tcBorders>
              <w:top w:val="single" w:sz="4" w:space="0" w:color="auto"/>
              <w:left w:val="single" w:sz="8" w:space="0" w:color="auto"/>
              <w:bottom w:val="single" w:sz="4" w:space="0" w:color="auto"/>
              <w:right w:val="single" w:sz="4" w:space="0" w:color="auto"/>
            </w:tcBorders>
            <w:shd w:val="clear" w:color="000000" w:fill="D9D9D9"/>
          </w:tcPr>
          <w:p w:rsidR="005325AC" w:rsidRPr="003A3593" w:rsidRDefault="005325AC" w:rsidP="000D30D1">
            <w:pPr>
              <w:jc w:val="both"/>
              <w:rPr>
                <w:rFonts w:cstheme="minorHAnsi"/>
                <w:b/>
              </w:rPr>
            </w:pPr>
            <w:r w:rsidRPr="003A3593">
              <w:rPr>
                <w:rFonts w:cstheme="minorHAnsi"/>
                <w:b/>
              </w:rPr>
              <w:t>Risultato atteso</w:t>
            </w:r>
          </w:p>
          <w:p w:rsidR="005325AC" w:rsidRPr="0030525A" w:rsidRDefault="005325AC" w:rsidP="008A29F1">
            <w:pPr>
              <w:numPr>
                <w:ilvl w:val="0"/>
                <w:numId w:val="17"/>
              </w:numPr>
              <w:spacing w:after="0" w:line="240" w:lineRule="auto"/>
              <w:jc w:val="both"/>
              <w:rPr>
                <w:rFonts w:cstheme="minorHAnsi"/>
                <w:lang w:eastAsia="it-IT"/>
              </w:rPr>
            </w:pPr>
            <w:r w:rsidRPr="0030525A">
              <w:rPr>
                <w:rFonts w:cstheme="minorHAnsi"/>
              </w:rPr>
              <w:t>l’i</w:t>
            </w:r>
            <w:r w:rsidRPr="0030525A">
              <w:rPr>
                <w:rFonts w:cstheme="minorHAnsi"/>
                <w:lang w:eastAsia="it-IT"/>
              </w:rPr>
              <w:t xml:space="preserve">ndividuazione dei bisogni riabilitativi del paziente oncologico; </w:t>
            </w:r>
          </w:p>
          <w:p w:rsidR="005325AC" w:rsidRPr="0030525A" w:rsidRDefault="005325AC" w:rsidP="008A29F1">
            <w:pPr>
              <w:numPr>
                <w:ilvl w:val="0"/>
                <w:numId w:val="17"/>
              </w:numPr>
              <w:spacing w:after="0" w:line="240" w:lineRule="auto"/>
              <w:jc w:val="both"/>
              <w:rPr>
                <w:rFonts w:cstheme="minorHAnsi"/>
                <w:lang w:eastAsia="it-IT"/>
              </w:rPr>
            </w:pPr>
            <w:r w:rsidRPr="0030525A">
              <w:rPr>
                <w:rFonts w:cstheme="minorHAnsi"/>
                <w:lang w:eastAsia="it-IT"/>
              </w:rPr>
              <w:t>la mappatura delle attività già presenti e la revisione delle stesse mediante un approccio multidisciplinare;</w:t>
            </w:r>
          </w:p>
          <w:p w:rsidR="005325AC" w:rsidRPr="0030525A" w:rsidRDefault="005325AC" w:rsidP="008A29F1">
            <w:pPr>
              <w:numPr>
                <w:ilvl w:val="0"/>
                <w:numId w:val="17"/>
              </w:numPr>
              <w:autoSpaceDE w:val="0"/>
              <w:autoSpaceDN w:val="0"/>
              <w:adjustRightInd w:val="0"/>
              <w:spacing w:after="0" w:line="240" w:lineRule="auto"/>
              <w:jc w:val="both"/>
              <w:rPr>
                <w:rFonts w:cstheme="minorHAnsi"/>
                <w:lang w:eastAsia="it-IT"/>
              </w:rPr>
            </w:pPr>
            <w:r w:rsidRPr="0030525A">
              <w:rPr>
                <w:rFonts w:cstheme="minorHAnsi"/>
                <w:lang w:eastAsia="it-IT"/>
              </w:rPr>
              <w:t xml:space="preserve">la condivisione con AAS5 di alcune attività inerenti al tema della riabilitazione mediante consulenze specialistiche ortopediche, cardiologiche, otorinolaringoiatriche, urologiche, neurologiche e </w:t>
            </w:r>
            <w:proofErr w:type="spellStart"/>
            <w:r w:rsidRPr="0030525A">
              <w:rPr>
                <w:rFonts w:cstheme="minorHAnsi"/>
                <w:lang w:eastAsia="it-IT"/>
              </w:rPr>
              <w:t>pneumologiche</w:t>
            </w:r>
            <w:proofErr w:type="spellEnd"/>
            <w:r w:rsidRPr="0030525A">
              <w:rPr>
                <w:rFonts w:cstheme="minorHAnsi"/>
                <w:lang w:eastAsia="it-IT"/>
              </w:rPr>
              <w:t>;</w:t>
            </w:r>
          </w:p>
          <w:p w:rsidR="005325AC" w:rsidRPr="0030525A" w:rsidRDefault="005325AC" w:rsidP="008A29F1">
            <w:pPr>
              <w:numPr>
                <w:ilvl w:val="0"/>
                <w:numId w:val="17"/>
              </w:numPr>
              <w:autoSpaceDE w:val="0"/>
              <w:autoSpaceDN w:val="0"/>
              <w:adjustRightInd w:val="0"/>
              <w:spacing w:after="0" w:line="240" w:lineRule="auto"/>
              <w:jc w:val="both"/>
              <w:rPr>
                <w:rFonts w:cstheme="minorHAnsi"/>
                <w:lang w:eastAsia="it-IT"/>
              </w:rPr>
            </w:pPr>
            <w:r w:rsidRPr="0030525A">
              <w:rPr>
                <w:rFonts w:cstheme="minorHAnsi"/>
                <w:lang w:eastAsia="it-IT"/>
              </w:rPr>
              <w:t>l’individuazione di una figura di coordinamento di tutte le attività riabilitative.</w:t>
            </w:r>
          </w:p>
        </w:tc>
      </w:tr>
      <w:tr w:rsidR="005325AC" w:rsidRPr="0030525A" w:rsidTr="000D30D1">
        <w:trPr>
          <w:jc w:val="center"/>
        </w:trPr>
        <w:tc>
          <w:tcPr>
            <w:tcW w:w="985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325AC" w:rsidRPr="00BB6C21" w:rsidRDefault="005325AC" w:rsidP="000D30D1">
            <w:pPr>
              <w:jc w:val="both"/>
              <w:outlineLvl w:val="0"/>
              <w:rPr>
                <w:rFonts w:eastAsia="MS Mincho" w:cs="Calibri"/>
                <w:b/>
              </w:rPr>
            </w:pPr>
            <w:r w:rsidRPr="00BB6C21">
              <w:rPr>
                <w:rFonts w:eastAsia="MS Mincho" w:cs="Calibri"/>
                <w:b/>
              </w:rPr>
              <w:t>Attuazione al 31.12.2015</w:t>
            </w:r>
          </w:p>
          <w:p w:rsidR="005325AC" w:rsidRPr="00BB6C21" w:rsidRDefault="005325AC" w:rsidP="000D30D1">
            <w:pPr>
              <w:jc w:val="both"/>
              <w:outlineLvl w:val="0"/>
              <w:rPr>
                <w:rFonts w:cs="DecimaWE Rg"/>
                <w:b/>
                <w:bCs/>
              </w:rPr>
            </w:pPr>
            <w:r w:rsidRPr="00223924">
              <w:rPr>
                <w:rFonts w:eastAsia="Times New Roman"/>
                <w:bCs/>
                <w:lang w:eastAsia="it-IT"/>
              </w:rPr>
              <w:t xml:space="preserve">L’individuazione di una figura di coordinamento di tutte le attività riabilitative al CRO che si confronti con l’AAS5 non è stata attivata </w:t>
            </w:r>
            <w:r>
              <w:rPr>
                <w:rFonts w:eastAsia="Times New Roman"/>
                <w:bCs/>
                <w:lang w:eastAsia="it-IT"/>
              </w:rPr>
              <w:t>ma</w:t>
            </w:r>
            <w:r w:rsidRPr="00223924">
              <w:rPr>
                <w:rFonts w:eastAsia="Times New Roman"/>
                <w:bCs/>
                <w:lang w:eastAsia="it-IT"/>
              </w:rPr>
              <w:t xml:space="preserve"> </w:t>
            </w:r>
            <w:r>
              <w:rPr>
                <w:rFonts w:eastAsia="Times New Roman"/>
                <w:bCs/>
                <w:lang w:eastAsia="it-IT"/>
              </w:rPr>
              <w:t xml:space="preserve">è </w:t>
            </w:r>
            <w:r w:rsidRPr="00223924">
              <w:rPr>
                <w:rFonts w:eastAsia="Times New Roman"/>
                <w:bCs/>
                <w:lang w:eastAsia="it-IT"/>
              </w:rPr>
              <w:t>stata posticipata all’anno 2016 in considerazione della ridefiniz</w:t>
            </w:r>
            <w:r>
              <w:rPr>
                <w:rFonts w:eastAsia="Times New Roman"/>
                <w:bCs/>
                <w:lang w:eastAsia="it-IT"/>
              </w:rPr>
              <w:t>ione della convenzione con la AA</w:t>
            </w:r>
            <w:r w:rsidRPr="00223924">
              <w:rPr>
                <w:rFonts w:eastAsia="Times New Roman"/>
                <w:bCs/>
                <w:lang w:eastAsia="it-IT"/>
              </w:rPr>
              <w:t>S5 e  di quanto previsto dalla nuova  Direzione dell’Istituto che nel nuovo Atto Aziendale all’Art.9 Funzione Ospedaliera prevede che “</w:t>
            </w:r>
            <w:proofErr w:type="spellStart"/>
            <w:r w:rsidRPr="00223924">
              <w:rPr>
                <w:rFonts w:eastAsia="Times New Roman"/>
                <w:bCs/>
                <w:lang w:eastAsia="it-IT"/>
              </w:rPr>
              <w:t>…l</w:t>
            </w:r>
            <w:proofErr w:type="spellEnd"/>
            <w:r w:rsidRPr="00223924">
              <w:rPr>
                <w:rFonts w:eastAsia="Times New Roman"/>
                <w:bCs/>
                <w:lang w:eastAsia="it-IT"/>
              </w:rPr>
              <w:t xml:space="preserve">’Istituto ritiene di </w:t>
            </w:r>
            <w:proofErr w:type="spellStart"/>
            <w:r w:rsidRPr="00223924">
              <w:rPr>
                <w:rFonts w:eastAsia="Times New Roman"/>
                <w:bCs/>
                <w:lang w:eastAsia="it-IT"/>
              </w:rPr>
              <w:t>attivare…</w:t>
            </w:r>
            <w:proofErr w:type="spellEnd"/>
            <w:r w:rsidRPr="00223924">
              <w:rPr>
                <w:rFonts w:eastAsia="Times New Roman"/>
                <w:bCs/>
                <w:lang w:eastAsia="it-IT"/>
              </w:rPr>
              <w:t xml:space="preserve">. una  struttura dedicata alla riabilitazione del paziente oncologico in coerenza con le recenti acquisizione della letteratura scientifica e analogamente a quanto realizzato nei </w:t>
            </w:r>
            <w:proofErr w:type="spellStart"/>
            <w:r w:rsidRPr="00223924">
              <w:rPr>
                <w:rFonts w:eastAsia="Times New Roman"/>
                <w:bCs/>
                <w:lang w:eastAsia="it-IT"/>
              </w:rPr>
              <w:t>Comprehensive</w:t>
            </w:r>
            <w:proofErr w:type="spellEnd"/>
            <w:r w:rsidRPr="00223924">
              <w:rPr>
                <w:rFonts w:eastAsia="Times New Roman"/>
                <w:bCs/>
                <w:lang w:eastAsia="it-IT"/>
              </w:rPr>
              <w:t xml:space="preserve"> </w:t>
            </w:r>
            <w:proofErr w:type="spellStart"/>
            <w:r w:rsidRPr="00223924">
              <w:rPr>
                <w:rFonts w:eastAsia="Times New Roman"/>
                <w:bCs/>
                <w:lang w:eastAsia="it-IT"/>
              </w:rPr>
              <w:t>Ca</w:t>
            </w:r>
            <w:r>
              <w:rPr>
                <w:rFonts w:eastAsia="Times New Roman"/>
                <w:bCs/>
                <w:lang w:eastAsia="it-IT"/>
              </w:rPr>
              <w:t>n</w:t>
            </w:r>
            <w:r w:rsidRPr="00223924">
              <w:rPr>
                <w:rFonts w:eastAsia="Times New Roman"/>
                <w:bCs/>
                <w:lang w:eastAsia="it-IT"/>
              </w:rPr>
              <w:t>cer</w:t>
            </w:r>
            <w:proofErr w:type="spellEnd"/>
            <w:r w:rsidRPr="00223924">
              <w:rPr>
                <w:rFonts w:eastAsia="Times New Roman"/>
                <w:bCs/>
                <w:lang w:eastAsia="it-IT"/>
              </w:rPr>
              <w:t xml:space="preserve"> </w:t>
            </w:r>
            <w:proofErr w:type="spellStart"/>
            <w:r w:rsidRPr="00223924">
              <w:rPr>
                <w:rFonts w:eastAsia="Times New Roman"/>
                <w:bCs/>
                <w:lang w:eastAsia="it-IT"/>
              </w:rPr>
              <w:t>Centers…</w:t>
            </w:r>
            <w:proofErr w:type="spellEnd"/>
            <w:r w:rsidRPr="00223924">
              <w:rPr>
                <w:rFonts w:eastAsia="Times New Roman"/>
                <w:bCs/>
                <w:lang w:eastAsia="it-IT"/>
              </w:rPr>
              <w:t>”</w:t>
            </w:r>
          </w:p>
        </w:tc>
      </w:tr>
      <w:tr w:rsidR="005325AC" w:rsidRPr="00BB6C21" w:rsidTr="000D3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194"/>
          <w:jc w:val="center"/>
        </w:trPr>
        <w:tc>
          <w:tcPr>
            <w:tcW w:w="98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5325AC" w:rsidRPr="00F2434E" w:rsidRDefault="005325AC" w:rsidP="000D30D1">
            <w:pPr>
              <w:jc w:val="both"/>
              <w:rPr>
                <w:rFonts w:eastAsia="MS Mincho" w:cstheme="minorHAnsi"/>
              </w:rPr>
            </w:pPr>
            <w:r w:rsidRPr="00F2434E">
              <w:rPr>
                <w:rFonts w:cstheme="minorHAnsi"/>
                <w:b/>
                <w:bCs/>
              </w:rPr>
              <w:t xml:space="preserve">Linea </w:t>
            </w:r>
            <w:r w:rsidRPr="00F2434E">
              <w:rPr>
                <w:rFonts w:cstheme="minorHAnsi"/>
                <w:b/>
              </w:rPr>
              <w:t>progettuale</w:t>
            </w:r>
            <w:r w:rsidRPr="00F2434E">
              <w:rPr>
                <w:rFonts w:cstheme="minorHAnsi"/>
                <w:b/>
                <w:bCs/>
              </w:rPr>
              <w:t xml:space="preserve"> n. 3.4.3 Reti di patologia</w:t>
            </w:r>
          </w:p>
        </w:tc>
      </w:tr>
      <w:tr w:rsidR="005325AC" w:rsidRPr="00F2434E" w:rsidTr="000D3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trHeight w:val="1907"/>
          <w:jc w:val="center"/>
        </w:trPr>
        <w:tc>
          <w:tcPr>
            <w:tcW w:w="4533" w:type="dxa"/>
            <w:tcBorders>
              <w:top w:val="single" w:sz="4" w:space="0" w:color="auto"/>
              <w:left w:val="single" w:sz="4" w:space="0" w:color="auto"/>
              <w:bottom w:val="single" w:sz="4" w:space="0" w:color="auto"/>
              <w:right w:val="single" w:sz="8" w:space="0" w:color="000000"/>
            </w:tcBorders>
            <w:shd w:val="clear" w:color="000000" w:fill="D9D9D9"/>
          </w:tcPr>
          <w:p w:rsidR="005325AC" w:rsidRPr="00F2434E" w:rsidRDefault="005325AC" w:rsidP="000D30D1">
            <w:pPr>
              <w:jc w:val="both"/>
              <w:rPr>
                <w:rFonts w:cstheme="minorHAnsi"/>
                <w:b/>
              </w:rPr>
            </w:pPr>
            <w:r w:rsidRPr="00F2434E">
              <w:rPr>
                <w:rFonts w:cstheme="minorHAnsi"/>
                <w:b/>
              </w:rPr>
              <w:t>Obiettivo aziendale</w:t>
            </w:r>
          </w:p>
          <w:p w:rsidR="005325AC" w:rsidRPr="00227DC3" w:rsidRDefault="005325AC" w:rsidP="000D30D1">
            <w:pPr>
              <w:rPr>
                <w:rFonts w:cs="Calibri"/>
              </w:rPr>
            </w:pPr>
            <w:r w:rsidRPr="00227DC3">
              <w:rPr>
                <w:rFonts w:cs="Calibri"/>
              </w:rPr>
              <w:t>Cooperazione sanitaria transfrontaliera ed internazionale</w:t>
            </w:r>
          </w:p>
          <w:p w:rsidR="005325AC" w:rsidRPr="00F2434E" w:rsidRDefault="005325AC" w:rsidP="000D30D1">
            <w:pPr>
              <w:pStyle w:val="Paragrafoelenco10"/>
              <w:spacing w:line="240" w:lineRule="auto"/>
              <w:ind w:left="0"/>
              <w:jc w:val="both"/>
              <w:rPr>
                <w:rFonts w:asciiTheme="minorHAnsi" w:hAnsiTheme="minorHAnsi" w:cstheme="minorHAnsi"/>
              </w:rPr>
            </w:pPr>
          </w:p>
        </w:tc>
        <w:tc>
          <w:tcPr>
            <w:tcW w:w="5321" w:type="dxa"/>
            <w:tcBorders>
              <w:top w:val="single" w:sz="4" w:space="0" w:color="auto"/>
              <w:left w:val="single" w:sz="8" w:space="0" w:color="auto"/>
              <w:bottom w:val="single" w:sz="4" w:space="0" w:color="auto"/>
              <w:right w:val="single" w:sz="4" w:space="0" w:color="auto"/>
            </w:tcBorders>
            <w:shd w:val="clear" w:color="000000" w:fill="D9D9D9"/>
          </w:tcPr>
          <w:p w:rsidR="005325AC" w:rsidRPr="00F2434E" w:rsidRDefault="005325AC" w:rsidP="000D30D1">
            <w:pPr>
              <w:jc w:val="both"/>
              <w:rPr>
                <w:rFonts w:cstheme="minorHAnsi"/>
                <w:b/>
              </w:rPr>
            </w:pPr>
            <w:r w:rsidRPr="00F2434E">
              <w:rPr>
                <w:rFonts w:cstheme="minorHAnsi"/>
                <w:b/>
              </w:rPr>
              <w:t>Risultato atteso</w:t>
            </w:r>
          </w:p>
          <w:p w:rsidR="005325AC" w:rsidRPr="00227DC3" w:rsidRDefault="005325AC" w:rsidP="000D30D1">
            <w:pPr>
              <w:jc w:val="both"/>
              <w:rPr>
                <w:bCs/>
              </w:rPr>
            </w:pPr>
            <w:r w:rsidRPr="00227DC3">
              <w:rPr>
                <w:bCs/>
              </w:rPr>
              <w:t>Individuazione dei referenti tecnici per le attività di cooperazione sanitaria che, fra l’altro, consenta la collaborazione nel percorso di adozione del progetto obiettivo sulla sanità transfrontaliera ed alla predisposizione del piano di integrazione sociosanitaria per l’integrazione dei sistemi sociosanitari italiani e sloveni.</w:t>
            </w:r>
          </w:p>
          <w:p w:rsidR="005325AC" w:rsidRPr="00227DC3" w:rsidRDefault="005325AC" w:rsidP="000D30D1">
            <w:pPr>
              <w:jc w:val="both"/>
              <w:rPr>
                <w:bCs/>
              </w:rPr>
            </w:pPr>
            <w:r w:rsidRPr="00227DC3">
              <w:rPr>
                <w:bCs/>
              </w:rPr>
              <w:t>I referenti dovranno inoltre diventare i principali interlocutori della Direzione centrale salute per le attività di sviluppo sui temi, in via particolare ma non esclusiva di:</w:t>
            </w:r>
          </w:p>
          <w:p w:rsidR="005325AC" w:rsidRPr="00227DC3" w:rsidRDefault="005325AC" w:rsidP="008A29F1">
            <w:pPr>
              <w:pStyle w:val="Paragrafoelenco"/>
              <w:numPr>
                <w:ilvl w:val="0"/>
                <w:numId w:val="17"/>
              </w:numPr>
              <w:contextualSpacing w:val="0"/>
              <w:jc w:val="both"/>
              <w:rPr>
                <w:bCs/>
              </w:rPr>
            </w:pPr>
            <w:r w:rsidRPr="00227DC3">
              <w:rPr>
                <w:bCs/>
              </w:rPr>
              <w:t>Sostegno all’</w:t>
            </w:r>
            <w:proofErr w:type="spellStart"/>
            <w:r w:rsidRPr="00227DC3">
              <w:rPr>
                <w:bCs/>
              </w:rPr>
              <w:t>empowerment</w:t>
            </w:r>
            <w:proofErr w:type="spellEnd"/>
            <w:r w:rsidRPr="00227DC3">
              <w:rPr>
                <w:bCs/>
              </w:rPr>
              <w:t xml:space="preserve"> del cittadino nei rapporti con le istituzioni sanitarie, di sistemi esperti per il supporto alle decisioni cliniche sulle malattie croniche.</w:t>
            </w:r>
          </w:p>
          <w:p w:rsidR="005325AC" w:rsidRPr="00227DC3" w:rsidRDefault="005325AC" w:rsidP="008A29F1">
            <w:pPr>
              <w:pStyle w:val="Paragrafoelenco"/>
              <w:numPr>
                <w:ilvl w:val="0"/>
                <w:numId w:val="17"/>
              </w:numPr>
              <w:contextualSpacing w:val="0"/>
              <w:jc w:val="both"/>
              <w:rPr>
                <w:bCs/>
              </w:rPr>
            </w:pPr>
            <w:r w:rsidRPr="00227DC3">
              <w:rPr>
                <w:bCs/>
              </w:rPr>
              <w:t>Individuazione nell’ambito delle patologie croniche, di modalità di monitoraggio dei percorsi di cura e riabilitazione dei pazienti tramite soluzioni tecnologiche anche fortemente innovative.</w:t>
            </w:r>
          </w:p>
          <w:p w:rsidR="005325AC" w:rsidRPr="00F2434E" w:rsidRDefault="005325AC" w:rsidP="000D30D1">
            <w:pPr>
              <w:jc w:val="both"/>
              <w:rPr>
                <w:rFonts w:cstheme="minorHAnsi"/>
                <w:lang w:eastAsia="it-IT"/>
              </w:rPr>
            </w:pPr>
          </w:p>
        </w:tc>
      </w:tr>
      <w:tr w:rsidR="005325AC" w:rsidRPr="0030525A" w:rsidTr="000D30D1">
        <w:trPr>
          <w:jc w:val="center"/>
        </w:trPr>
        <w:tc>
          <w:tcPr>
            <w:tcW w:w="985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325AC" w:rsidRPr="00F2434E" w:rsidRDefault="005325AC" w:rsidP="000D30D1">
            <w:pPr>
              <w:jc w:val="both"/>
              <w:outlineLvl w:val="0"/>
              <w:rPr>
                <w:rFonts w:eastAsia="MS Mincho" w:cs="Calibri"/>
                <w:b/>
              </w:rPr>
            </w:pPr>
            <w:r w:rsidRPr="00F2434E">
              <w:rPr>
                <w:rFonts w:eastAsia="MS Mincho" w:cs="Calibri"/>
                <w:b/>
              </w:rPr>
              <w:lastRenderedPageBreak/>
              <w:t>Attuazione al 31.12.2015</w:t>
            </w:r>
          </w:p>
          <w:p w:rsidR="005325AC" w:rsidRPr="00F2434E" w:rsidRDefault="005325AC" w:rsidP="000D30D1">
            <w:pPr>
              <w:jc w:val="both"/>
            </w:pPr>
            <w:r>
              <w:t>-i</w:t>
            </w:r>
            <w:r w:rsidRPr="00F2434E">
              <w:t xml:space="preserve">l CRO ha valutato ipotesi collaborative in vista dei bandi </w:t>
            </w:r>
            <w:proofErr w:type="spellStart"/>
            <w:r w:rsidRPr="00F2434E">
              <w:t>Italia-Slovenia</w:t>
            </w:r>
            <w:proofErr w:type="spellEnd"/>
            <w:r w:rsidRPr="00F2434E">
              <w:t>, confrontandosi in particolare con cordata progettuale finanziata nella precedente programmazione, da cui l'identificazione di referenti tecnici coinvolgibili anche in territorio sloveno.</w:t>
            </w:r>
          </w:p>
          <w:p w:rsidR="005325AC" w:rsidRPr="00F2434E" w:rsidRDefault="005325AC" w:rsidP="000D30D1">
            <w:pPr>
              <w:jc w:val="both"/>
            </w:pPr>
            <w:r>
              <w:t xml:space="preserve"> i</w:t>
            </w:r>
            <w:r w:rsidRPr="00F2434E">
              <w:t xml:space="preserve">l CRO ha posto in essere iniziative su ricerca ed </w:t>
            </w:r>
            <w:proofErr w:type="spellStart"/>
            <w:r w:rsidRPr="00F2434E">
              <w:t>europrogettazione</w:t>
            </w:r>
            <w:proofErr w:type="spellEnd"/>
            <w:r w:rsidRPr="00F2434E">
              <w:t xml:space="preserve">, in collaborazione con altri enti della sanità Regionale (eventi Mattone Internazionale, H2020), basate sulla ricognizione dei bisogni informativi, formativi e di </w:t>
            </w:r>
            <w:proofErr w:type="spellStart"/>
            <w:r w:rsidRPr="00F2434E">
              <w:t>networking</w:t>
            </w:r>
            <w:proofErr w:type="spellEnd"/>
            <w:r w:rsidRPr="00F2434E">
              <w:t>.</w:t>
            </w:r>
          </w:p>
          <w:p w:rsidR="005325AC" w:rsidRPr="00F2434E" w:rsidRDefault="005325AC" w:rsidP="000D30D1">
            <w:pPr>
              <w:jc w:val="both"/>
            </w:pPr>
            <w:r w:rsidRPr="00F2434E">
              <w:t xml:space="preserve">- </w:t>
            </w:r>
            <w:r>
              <w:t xml:space="preserve">le </w:t>
            </w:r>
            <w:r w:rsidRPr="00F2434E">
              <w:t xml:space="preserve">ipotesi di collaborazione in vista dei bandi </w:t>
            </w:r>
            <w:proofErr w:type="spellStart"/>
            <w:r w:rsidRPr="00F2434E">
              <w:t>Italia-Austria</w:t>
            </w:r>
            <w:proofErr w:type="spellEnd"/>
            <w:r w:rsidRPr="00F2434E">
              <w:t xml:space="preserve"> hanno dato luogo a incontri finalizzati alla progettazione condivisa sui due lati del confine, includendosi tematiche di gestione ed </w:t>
            </w:r>
            <w:proofErr w:type="spellStart"/>
            <w:r w:rsidRPr="00F2434E">
              <w:t>empowerment</w:t>
            </w:r>
            <w:proofErr w:type="spellEnd"/>
            <w:r w:rsidRPr="00F2434E">
              <w:t xml:space="preserve"> del paziente oncologico, già coordinate dal CRO nelle precedente programmazione.</w:t>
            </w:r>
          </w:p>
          <w:p w:rsidR="005325AC" w:rsidRPr="00CC1F86" w:rsidRDefault="005325AC" w:rsidP="000D30D1">
            <w:pPr>
              <w:jc w:val="both"/>
            </w:pPr>
            <w:r w:rsidRPr="00F2434E">
              <w:t xml:space="preserve">- </w:t>
            </w:r>
            <w:r>
              <w:t>i</w:t>
            </w:r>
            <w:r w:rsidRPr="00F2434E">
              <w:t>l CRO ha vagliato ipotesi di attività d'impatto, in quanto a innovazione tecnologica a supporto della sanità del territorio, potenzialmente finanziabili a livello internazionale (</w:t>
            </w:r>
            <w:proofErr w:type="spellStart"/>
            <w:r w:rsidRPr="00F2434E">
              <w:t>es</w:t>
            </w:r>
            <w:proofErr w:type="spellEnd"/>
            <w:r w:rsidRPr="00F2434E">
              <w:t>: network di bioinformatica)</w:t>
            </w:r>
          </w:p>
        </w:tc>
      </w:tr>
      <w:tr w:rsidR="005325AC" w:rsidRPr="0030525A" w:rsidTr="000D3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169"/>
          <w:jc w:val="center"/>
        </w:trPr>
        <w:tc>
          <w:tcPr>
            <w:tcW w:w="4533" w:type="dxa"/>
            <w:tcBorders>
              <w:left w:val="single" w:sz="8" w:space="0" w:color="000000"/>
              <w:bottom w:val="single" w:sz="8" w:space="0" w:color="000000"/>
              <w:right w:val="single" w:sz="8" w:space="0" w:color="000000"/>
            </w:tcBorders>
            <w:shd w:val="clear" w:color="auto" w:fill="E6E6E6"/>
            <w:tcMar>
              <w:top w:w="0" w:type="dxa"/>
              <w:left w:w="70" w:type="dxa"/>
              <w:bottom w:w="0" w:type="dxa"/>
              <w:right w:w="70" w:type="dxa"/>
            </w:tcMar>
          </w:tcPr>
          <w:p w:rsidR="005325AC" w:rsidRPr="009C1F6D" w:rsidRDefault="005325AC" w:rsidP="000D30D1">
            <w:pPr>
              <w:jc w:val="both"/>
              <w:rPr>
                <w:rFonts w:eastAsia="MS Mincho"/>
                <w:b/>
              </w:rPr>
            </w:pPr>
            <w:r w:rsidRPr="009C1F6D">
              <w:rPr>
                <w:rFonts w:eastAsia="MS Mincho"/>
                <w:b/>
              </w:rPr>
              <w:t>Obiettivo aziendale</w:t>
            </w:r>
          </w:p>
          <w:p w:rsidR="005325AC" w:rsidRPr="0030525A" w:rsidRDefault="005325AC" w:rsidP="000D30D1">
            <w:pPr>
              <w:jc w:val="both"/>
              <w:rPr>
                <w:rFonts w:eastAsia="MS Mincho"/>
              </w:rPr>
            </w:pPr>
            <w:r w:rsidRPr="0030525A">
              <w:rPr>
                <w:rFonts w:eastAsia="MS Mincho"/>
              </w:rPr>
              <w:t>Rete delle malattie rare</w:t>
            </w:r>
          </w:p>
        </w:tc>
        <w:tc>
          <w:tcPr>
            <w:tcW w:w="5321" w:type="dxa"/>
            <w:tcBorders>
              <w:left w:val="single" w:sz="8" w:space="0" w:color="000000"/>
              <w:bottom w:val="single" w:sz="8" w:space="0" w:color="000000"/>
              <w:right w:val="single" w:sz="8" w:space="0" w:color="000000"/>
            </w:tcBorders>
            <w:shd w:val="clear" w:color="auto" w:fill="E6E6E6"/>
            <w:tcMar>
              <w:top w:w="0" w:type="dxa"/>
              <w:left w:w="70" w:type="dxa"/>
              <w:bottom w:w="0" w:type="dxa"/>
              <w:right w:w="70" w:type="dxa"/>
            </w:tcMar>
          </w:tcPr>
          <w:p w:rsidR="005325AC" w:rsidRPr="009C1F6D" w:rsidRDefault="005325AC" w:rsidP="000D30D1">
            <w:pPr>
              <w:jc w:val="both"/>
              <w:rPr>
                <w:rFonts w:eastAsia="MS Mincho"/>
                <w:b/>
              </w:rPr>
            </w:pPr>
            <w:r>
              <w:rPr>
                <w:rFonts w:eastAsia="MS Mincho"/>
                <w:b/>
              </w:rPr>
              <w:t>Risultato atteso</w:t>
            </w:r>
          </w:p>
          <w:p w:rsidR="005325AC" w:rsidRPr="0030525A" w:rsidRDefault="005325AC" w:rsidP="000D30D1">
            <w:pPr>
              <w:pStyle w:val="Paragrafoelenco"/>
              <w:spacing w:after="0"/>
              <w:ind w:left="61"/>
              <w:jc w:val="both"/>
            </w:pPr>
            <w:r w:rsidRPr="0030525A">
              <w:t xml:space="preserve">partecipazione alle attività regionali di rilancio della rete malattie rare con </w:t>
            </w:r>
            <w:r>
              <w:t>definizione</w:t>
            </w:r>
            <w:r w:rsidRPr="0030525A">
              <w:t xml:space="preserve"> di almeno 3 percorsi assistenziali</w:t>
            </w:r>
          </w:p>
        </w:tc>
      </w:tr>
      <w:tr w:rsidR="005325AC" w:rsidRPr="0030525A" w:rsidTr="000D30D1">
        <w:trPr>
          <w:jc w:val="center"/>
        </w:trPr>
        <w:tc>
          <w:tcPr>
            <w:tcW w:w="9854" w:type="dxa"/>
            <w:gridSpan w:val="2"/>
            <w:tcBorders>
              <w:top w:val="single" w:sz="4" w:space="0" w:color="auto"/>
              <w:left w:val="single" w:sz="4" w:space="0" w:color="auto"/>
              <w:bottom w:val="single" w:sz="4" w:space="0" w:color="auto"/>
              <w:right w:val="single" w:sz="4" w:space="0" w:color="auto"/>
            </w:tcBorders>
          </w:tcPr>
          <w:p w:rsidR="005325AC" w:rsidRPr="00702F65" w:rsidRDefault="005325AC" w:rsidP="000D30D1">
            <w:pPr>
              <w:jc w:val="both"/>
              <w:outlineLvl w:val="0"/>
              <w:rPr>
                <w:rFonts w:eastAsia="MS Mincho" w:cs="Calibri"/>
                <w:b/>
              </w:rPr>
            </w:pPr>
            <w:r w:rsidRPr="00702F65">
              <w:rPr>
                <w:rFonts w:eastAsia="MS Mincho" w:cs="Calibri"/>
                <w:b/>
              </w:rPr>
              <w:t>Attuazione al 31.12.2015</w:t>
            </w:r>
          </w:p>
          <w:p w:rsidR="005325AC" w:rsidRPr="00702F65" w:rsidRDefault="005325AC" w:rsidP="000D30D1">
            <w:pPr>
              <w:shd w:val="clear" w:color="auto" w:fill="FFFFFF"/>
              <w:spacing w:line="196" w:lineRule="atLeast"/>
              <w:jc w:val="both"/>
              <w:textAlignment w:val="baseline"/>
            </w:pPr>
            <w:r w:rsidRPr="00702F65">
              <w:t xml:space="preserve">la </w:t>
            </w:r>
            <w:proofErr w:type="spellStart"/>
            <w:r w:rsidRPr="00702F65">
              <w:t>S.O.C.</w:t>
            </w:r>
            <w:proofErr w:type="spellEnd"/>
            <w:r w:rsidRPr="00702F65">
              <w:t xml:space="preserve"> di Gastroenterologia Oncologica del CRO partecipa alla rete regionale delle malattie rare per le seguenti malattie rare: </w:t>
            </w:r>
          </w:p>
          <w:p w:rsidR="005325AC" w:rsidRPr="00702F65" w:rsidRDefault="005325AC" w:rsidP="008A29F1">
            <w:pPr>
              <w:numPr>
                <w:ilvl w:val="0"/>
                <w:numId w:val="23"/>
              </w:numPr>
              <w:shd w:val="clear" w:color="auto" w:fill="FFFFFF"/>
              <w:spacing w:after="0" w:line="196" w:lineRule="atLeast"/>
              <w:ind w:left="0" w:firstLine="162"/>
              <w:textAlignment w:val="baseline"/>
            </w:pPr>
            <w:r w:rsidRPr="00702F65">
              <w:t xml:space="preserve">(RA0020) </w:t>
            </w:r>
            <w:r w:rsidRPr="00702F65">
              <w:rPr>
                <w:bdr w:val="none" w:sz="0" w:space="0" w:color="auto" w:frame="1"/>
              </w:rPr>
              <w:t xml:space="preserve">Malattia di </w:t>
            </w:r>
            <w:proofErr w:type="spellStart"/>
            <w:r w:rsidRPr="00702F65">
              <w:rPr>
                <w:bdr w:val="none" w:sz="0" w:space="0" w:color="auto" w:frame="1"/>
              </w:rPr>
              <w:t>Whipple</w:t>
            </w:r>
            <w:proofErr w:type="spellEnd"/>
            <w:r w:rsidRPr="00702F65">
              <w:rPr>
                <w:bdr w:val="none" w:sz="0" w:space="0" w:color="auto" w:frame="1"/>
              </w:rPr>
              <w:t xml:space="preserve"> </w:t>
            </w:r>
            <w:r w:rsidRPr="00702F65">
              <w:t>(</w:t>
            </w:r>
            <w:proofErr w:type="spellStart"/>
            <w:r w:rsidRPr="00702F65">
              <w:t>Lipodistrofia</w:t>
            </w:r>
            <w:proofErr w:type="spellEnd"/>
            <w:r w:rsidRPr="00702F65">
              <w:t xml:space="preserve"> intestinale), </w:t>
            </w:r>
          </w:p>
          <w:p w:rsidR="005325AC" w:rsidRPr="00702F65" w:rsidRDefault="005325AC" w:rsidP="008A29F1">
            <w:pPr>
              <w:numPr>
                <w:ilvl w:val="0"/>
                <w:numId w:val="23"/>
              </w:numPr>
              <w:shd w:val="clear" w:color="auto" w:fill="FFFFFF"/>
              <w:spacing w:after="0" w:line="196" w:lineRule="atLeast"/>
              <w:ind w:left="0" w:firstLine="162"/>
              <w:textAlignment w:val="baseline"/>
            </w:pPr>
            <w:r w:rsidRPr="00702F65">
              <w:t xml:space="preserve">(RB0040) </w:t>
            </w:r>
            <w:r w:rsidRPr="00702F65">
              <w:rPr>
                <w:bdr w:val="none" w:sz="0" w:space="0" w:color="auto" w:frame="1"/>
              </w:rPr>
              <w:t>Sindrome di Gardner</w:t>
            </w:r>
            <w:r w:rsidRPr="00702F65">
              <w:t> </w:t>
            </w:r>
          </w:p>
          <w:p w:rsidR="005325AC" w:rsidRPr="00702F65" w:rsidRDefault="005325AC" w:rsidP="008A29F1">
            <w:pPr>
              <w:numPr>
                <w:ilvl w:val="0"/>
                <w:numId w:val="23"/>
              </w:numPr>
              <w:shd w:val="clear" w:color="auto" w:fill="FFFFFF"/>
              <w:spacing w:after="0" w:line="196" w:lineRule="atLeast"/>
              <w:ind w:left="0" w:firstLine="162"/>
              <w:textAlignment w:val="baseline"/>
            </w:pPr>
            <w:r w:rsidRPr="00702F65">
              <w:t xml:space="preserve">(RB0050) </w:t>
            </w:r>
            <w:r w:rsidRPr="00702F65">
              <w:rPr>
                <w:bdr w:val="none" w:sz="0" w:space="0" w:color="auto" w:frame="1"/>
              </w:rPr>
              <w:t>Poliposi familiare</w:t>
            </w:r>
            <w:r w:rsidRPr="00702F65">
              <w:t> </w:t>
            </w:r>
          </w:p>
          <w:p w:rsidR="005325AC" w:rsidRPr="00702F65" w:rsidRDefault="005325AC" w:rsidP="008A29F1">
            <w:pPr>
              <w:numPr>
                <w:ilvl w:val="0"/>
                <w:numId w:val="23"/>
              </w:numPr>
              <w:shd w:val="clear" w:color="auto" w:fill="FFFFFF"/>
              <w:spacing w:after="0" w:line="196" w:lineRule="atLeast"/>
              <w:ind w:left="0" w:firstLine="162"/>
              <w:textAlignment w:val="baseline"/>
            </w:pPr>
            <w:r w:rsidRPr="00702F65">
              <w:t xml:space="preserve">(RI0010) </w:t>
            </w:r>
            <w:proofErr w:type="spellStart"/>
            <w:r w:rsidRPr="00702F65">
              <w:rPr>
                <w:bdr w:val="none" w:sz="0" w:space="0" w:color="auto" w:frame="1"/>
              </w:rPr>
              <w:t>Acalasia</w:t>
            </w:r>
            <w:proofErr w:type="spellEnd"/>
            <w:r w:rsidRPr="00702F65">
              <w:t> </w:t>
            </w:r>
          </w:p>
          <w:p w:rsidR="005325AC" w:rsidRPr="00702F65" w:rsidRDefault="005325AC" w:rsidP="008A29F1">
            <w:pPr>
              <w:numPr>
                <w:ilvl w:val="0"/>
                <w:numId w:val="23"/>
              </w:numPr>
              <w:shd w:val="clear" w:color="auto" w:fill="FFFFFF"/>
              <w:spacing w:after="0" w:line="196" w:lineRule="atLeast"/>
              <w:ind w:left="0" w:firstLine="162"/>
              <w:textAlignment w:val="baseline"/>
            </w:pPr>
            <w:r w:rsidRPr="00702F65">
              <w:t xml:space="preserve">(RI0020) </w:t>
            </w:r>
            <w:r w:rsidRPr="00702F65">
              <w:rPr>
                <w:bdr w:val="none" w:sz="0" w:space="0" w:color="auto" w:frame="1"/>
              </w:rPr>
              <w:t>Gastrite ipertrofica gigante</w:t>
            </w:r>
          </w:p>
          <w:p w:rsidR="005325AC" w:rsidRPr="00702F65" w:rsidRDefault="005325AC" w:rsidP="008A29F1">
            <w:pPr>
              <w:numPr>
                <w:ilvl w:val="0"/>
                <w:numId w:val="23"/>
              </w:numPr>
              <w:shd w:val="clear" w:color="auto" w:fill="FFFFFF"/>
              <w:spacing w:after="0" w:line="196" w:lineRule="atLeast"/>
              <w:ind w:left="0" w:firstLine="162"/>
              <w:textAlignment w:val="baseline"/>
            </w:pPr>
            <w:r w:rsidRPr="00702F65">
              <w:t xml:space="preserve">(RI0030) </w:t>
            </w:r>
            <w:r w:rsidRPr="00702F65">
              <w:rPr>
                <w:bdr w:val="none" w:sz="0" w:space="0" w:color="auto" w:frame="1"/>
              </w:rPr>
              <w:t>Gastroenterite eosinofila</w:t>
            </w:r>
          </w:p>
          <w:p w:rsidR="005325AC" w:rsidRPr="00702F65" w:rsidRDefault="005325AC" w:rsidP="008A29F1">
            <w:pPr>
              <w:numPr>
                <w:ilvl w:val="0"/>
                <w:numId w:val="23"/>
              </w:numPr>
              <w:shd w:val="clear" w:color="auto" w:fill="FFFFFF"/>
              <w:spacing w:after="0" w:line="196" w:lineRule="atLeast"/>
              <w:ind w:left="0" w:firstLine="162"/>
              <w:textAlignment w:val="baseline"/>
            </w:pPr>
            <w:r w:rsidRPr="00702F65">
              <w:t xml:space="preserve">(RI0050) </w:t>
            </w:r>
            <w:r w:rsidRPr="00702F65">
              <w:rPr>
                <w:bdr w:val="none" w:sz="0" w:space="0" w:color="auto" w:frame="1"/>
              </w:rPr>
              <w:t>Colangite primitiva sclerosante</w:t>
            </w:r>
          </w:p>
          <w:p w:rsidR="005325AC" w:rsidRPr="00702F65" w:rsidRDefault="005325AC" w:rsidP="008A29F1">
            <w:pPr>
              <w:numPr>
                <w:ilvl w:val="0"/>
                <w:numId w:val="23"/>
              </w:numPr>
              <w:shd w:val="clear" w:color="auto" w:fill="FFFFFF"/>
              <w:spacing w:after="0" w:line="196" w:lineRule="atLeast"/>
              <w:ind w:left="0" w:firstLine="162"/>
              <w:textAlignment w:val="baseline"/>
            </w:pPr>
            <w:r w:rsidRPr="00702F65">
              <w:t xml:space="preserve">(RI0060) </w:t>
            </w:r>
            <w:r w:rsidRPr="00702F65">
              <w:rPr>
                <w:bdr w:val="none" w:sz="0" w:space="0" w:color="auto" w:frame="1"/>
              </w:rPr>
              <w:t>Sprue celiaca</w:t>
            </w:r>
          </w:p>
          <w:p w:rsidR="005325AC" w:rsidRPr="00702F65" w:rsidRDefault="005325AC" w:rsidP="008A29F1">
            <w:pPr>
              <w:numPr>
                <w:ilvl w:val="0"/>
                <w:numId w:val="23"/>
              </w:numPr>
              <w:shd w:val="clear" w:color="auto" w:fill="FFFFFF"/>
              <w:spacing w:after="0" w:line="196" w:lineRule="atLeast"/>
              <w:ind w:left="0" w:firstLine="162"/>
              <w:textAlignment w:val="baseline"/>
            </w:pPr>
            <w:r w:rsidRPr="00702F65">
              <w:t xml:space="preserve">(RN0760) </w:t>
            </w:r>
            <w:r w:rsidRPr="00702F65">
              <w:rPr>
                <w:bdr w:val="none" w:sz="0" w:space="0" w:color="auto" w:frame="1"/>
              </w:rPr>
              <w:t xml:space="preserve">Sindrome di </w:t>
            </w:r>
            <w:proofErr w:type="spellStart"/>
            <w:r w:rsidRPr="00702F65">
              <w:rPr>
                <w:bdr w:val="none" w:sz="0" w:space="0" w:color="auto" w:frame="1"/>
              </w:rPr>
              <w:t>Peutz-Jeghers</w:t>
            </w:r>
            <w:proofErr w:type="spellEnd"/>
          </w:p>
          <w:p w:rsidR="005325AC" w:rsidRPr="00702F65" w:rsidRDefault="005325AC" w:rsidP="000D30D1">
            <w:pPr>
              <w:jc w:val="both"/>
            </w:pPr>
            <w:r w:rsidRPr="00702F65">
              <w:t>Con delibere regionali completate con la DRG 104 del 23-01-2015 sono stati formalizzati i seguenti percorsi:</w:t>
            </w:r>
          </w:p>
          <w:p w:rsidR="005325AC" w:rsidRPr="00702F65" w:rsidRDefault="005325AC" w:rsidP="008A29F1">
            <w:pPr>
              <w:numPr>
                <w:ilvl w:val="0"/>
                <w:numId w:val="23"/>
              </w:numPr>
              <w:shd w:val="clear" w:color="auto" w:fill="FFFFFF"/>
              <w:spacing w:after="0" w:line="196" w:lineRule="atLeast"/>
              <w:ind w:left="0" w:firstLine="162"/>
              <w:textAlignment w:val="baseline"/>
            </w:pPr>
            <w:r w:rsidRPr="00702F65">
              <w:t xml:space="preserve">(RB0040) </w:t>
            </w:r>
            <w:r w:rsidRPr="00702F65">
              <w:rPr>
                <w:bdr w:val="none" w:sz="0" w:space="0" w:color="auto" w:frame="1"/>
              </w:rPr>
              <w:t>Sindrome di Gardner</w:t>
            </w:r>
            <w:r w:rsidRPr="00702F65">
              <w:t> </w:t>
            </w:r>
          </w:p>
          <w:p w:rsidR="005325AC" w:rsidRPr="00702F65" w:rsidRDefault="005325AC" w:rsidP="008A29F1">
            <w:pPr>
              <w:numPr>
                <w:ilvl w:val="0"/>
                <w:numId w:val="23"/>
              </w:numPr>
              <w:shd w:val="clear" w:color="auto" w:fill="FFFFFF"/>
              <w:spacing w:after="0" w:line="196" w:lineRule="atLeast"/>
              <w:ind w:left="0" w:firstLine="162"/>
              <w:textAlignment w:val="baseline"/>
            </w:pPr>
            <w:r w:rsidRPr="00702F65">
              <w:t xml:space="preserve">(RB0050) </w:t>
            </w:r>
            <w:r w:rsidRPr="00702F65">
              <w:rPr>
                <w:bdr w:val="none" w:sz="0" w:space="0" w:color="auto" w:frame="1"/>
              </w:rPr>
              <w:t>Poliposi familiare</w:t>
            </w:r>
            <w:r w:rsidRPr="00702F65">
              <w:t> </w:t>
            </w:r>
          </w:p>
          <w:p w:rsidR="005325AC" w:rsidRPr="00702F65" w:rsidRDefault="005325AC" w:rsidP="008A29F1">
            <w:pPr>
              <w:numPr>
                <w:ilvl w:val="0"/>
                <w:numId w:val="23"/>
              </w:numPr>
              <w:shd w:val="clear" w:color="auto" w:fill="FFFFFF"/>
              <w:spacing w:after="0" w:line="196" w:lineRule="atLeast"/>
              <w:ind w:left="0" w:firstLine="162"/>
              <w:textAlignment w:val="baseline"/>
            </w:pPr>
            <w:r w:rsidRPr="00702F65">
              <w:t xml:space="preserve">(RI0060) </w:t>
            </w:r>
            <w:r w:rsidRPr="00702F65">
              <w:rPr>
                <w:bdr w:val="none" w:sz="0" w:space="0" w:color="auto" w:frame="1"/>
              </w:rPr>
              <w:t>Sprue celiaca</w:t>
            </w:r>
            <w:r w:rsidRPr="00702F65">
              <w:t> </w:t>
            </w:r>
          </w:p>
          <w:p w:rsidR="005325AC" w:rsidRPr="00702F65" w:rsidRDefault="005325AC" w:rsidP="008A29F1">
            <w:pPr>
              <w:numPr>
                <w:ilvl w:val="0"/>
                <w:numId w:val="23"/>
              </w:numPr>
              <w:shd w:val="clear" w:color="auto" w:fill="FFFFFF"/>
              <w:spacing w:after="0" w:line="196" w:lineRule="atLeast"/>
              <w:ind w:left="0" w:firstLine="162"/>
              <w:textAlignment w:val="baseline"/>
            </w:pPr>
            <w:r w:rsidRPr="00702F65">
              <w:t xml:space="preserve">(RN0760) </w:t>
            </w:r>
            <w:r w:rsidRPr="00702F65">
              <w:rPr>
                <w:bdr w:val="none" w:sz="0" w:space="0" w:color="auto" w:frame="1"/>
              </w:rPr>
              <w:t xml:space="preserve">Sindrome di </w:t>
            </w:r>
            <w:proofErr w:type="spellStart"/>
            <w:r w:rsidRPr="00702F65">
              <w:rPr>
                <w:bdr w:val="none" w:sz="0" w:space="0" w:color="auto" w:frame="1"/>
              </w:rPr>
              <w:t>Peutz-Jeghers</w:t>
            </w:r>
            <w:proofErr w:type="spellEnd"/>
          </w:p>
          <w:p w:rsidR="005325AC" w:rsidRPr="00702F65" w:rsidRDefault="005325AC" w:rsidP="008A29F1">
            <w:pPr>
              <w:numPr>
                <w:ilvl w:val="0"/>
                <w:numId w:val="23"/>
              </w:numPr>
              <w:shd w:val="clear" w:color="auto" w:fill="FFFFFF"/>
              <w:spacing w:after="0" w:line="196" w:lineRule="atLeast"/>
              <w:ind w:left="0" w:firstLine="162"/>
              <w:textAlignment w:val="baseline"/>
            </w:pPr>
            <w:r w:rsidRPr="00702F65">
              <w:rPr>
                <w:bdr w:val="none" w:sz="0" w:space="0" w:color="auto" w:frame="1"/>
              </w:rPr>
              <w:t>e inoltre della HPNCC</w:t>
            </w:r>
            <w:r w:rsidRPr="00702F65">
              <w:t>.</w:t>
            </w:r>
          </w:p>
        </w:tc>
      </w:tr>
      <w:tr w:rsidR="005325AC" w:rsidRPr="0030525A" w:rsidTr="000D3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169"/>
          <w:jc w:val="center"/>
        </w:trPr>
        <w:tc>
          <w:tcPr>
            <w:tcW w:w="4533" w:type="dxa"/>
            <w:tcBorders>
              <w:top w:val="single" w:sz="8" w:space="0" w:color="000000"/>
              <w:left w:val="single" w:sz="8" w:space="0" w:color="000000"/>
              <w:bottom w:val="single" w:sz="4" w:space="0" w:color="auto"/>
              <w:right w:val="single" w:sz="8" w:space="0" w:color="000000"/>
            </w:tcBorders>
            <w:shd w:val="clear" w:color="auto" w:fill="E6E6E6"/>
            <w:tcMar>
              <w:top w:w="0" w:type="dxa"/>
              <w:left w:w="70" w:type="dxa"/>
              <w:bottom w:w="0" w:type="dxa"/>
              <w:right w:w="70" w:type="dxa"/>
            </w:tcMar>
          </w:tcPr>
          <w:p w:rsidR="005325AC" w:rsidRPr="009C1F6D" w:rsidRDefault="005325AC" w:rsidP="000D30D1">
            <w:pPr>
              <w:jc w:val="both"/>
              <w:rPr>
                <w:rFonts w:eastAsia="MS Mincho"/>
                <w:b/>
              </w:rPr>
            </w:pPr>
            <w:r>
              <w:rPr>
                <w:rFonts w:eastAsia="MS Mincho"/>
                <w:b/>
              </w:rPr>
              <w:t>Obiettivo aziendale</w:t>
            </w:r>
          </w:p>
          <w:p w:rsidR="005325AC" w:rsidRPr="00DC7CD4" w:rsidRDefault="005325AC" w:rsidP="000D30D1">
            <w:pPr>
              <w:jc w:val="both"/>
              <w:rPr>
                <w:rFonts w:eastAsia="MS Mincho"/>
                <w:highlight w:val="yellow"/>
              </w:rPr>
            </w:pPr>
            <w:r w:rsidRPr="008672EF">
              <w:rPr>
                <w:rFonts w:eastAsia="MS Mincho"/>
              </w:rPr>
              <w:lastRenderedPageBreak/>
              <w:t>Malattia oncologica</w:t>
            </w:r>
          </w:p>
        </w:tc>
        <w:tc>
          <w:tcPr>
            <w:tcW w:w="5321" w:type="dxa"/>
            <w:tcBorders>
              <w:top w:val="single" w:sz="8" w:space="0" w:color="000000"/>
              <w:left w:val="single" w:sz="8" w:space="0" w:color="000000"/>
              <w:bottom w:val="single" w:sz="4" w:space="0" w:color="auto"/>
              <w:right w:val="single" w:sz="8" w:space="0" w:color="000000"/>
            </w:tcBorders>
            <w:shd w:val="clear" w:color="auto" w:fill="E6E6E6"/>
            <w:tcMar>
              <w:top w:w="0" w:type="dxa"/>
              <w:left w:w="70" w:type="dxa"/>
              <w:bottom w:w="0" w:type="dxa"/>
              <w:right w:w="70" w:type="dxa"/>
            </w:tcMar>
          </w:tcPr>
          <w:p w:rsidR="005325AC" w:rsidRPr="000C3D13" w:rsidRDefault="005325AC" w:rsidP="000D30D1">
            <w:pPr>
              <w:jc w:val="both"/>
              <w:rPr>
                <w:rFonts w:eastAsia="MS Mincho"/>
                <w:b/>
              </w:rPr>
            </w:pPr>
            <w:r w:rsidRPr="000C3D13">
              <w:rPr>
                <w:rFonts w:eastAsia="MS Mincho"/>
                <w:b/>
              </w:rPr>
              <w:lastRenderedPageBreak/>
              <w:t>Risultato atteso</w:t>
            </w:r>
          </w:p>
          <w:p w:rsidR="005325AC" w:rsidRPr="00867A58" w:rsidRDefault="005325AC" w:rsidP="008A29F1">
            <w:pPr>
              <w:pStyle w:val="Paragrafoelenco"/>
              <w:numPr>
                <w:ilvl w:val="0"/>
                <w:numId w:val="16"/>
              </w:numPr>
              <w:spacing w:after="0" w:line="240" w:lineRule="auto"/>
              <w:contextualSpacing w:val="0"/>
              <w:jc w:val="both"/>
            </w:pPr>
            <w:r w:rsidRPr="00867A58">
              <w:lastRenderedPageBreak/>
              <w:t>definizione ed avvio dell’attività della rete oncologica</w:t>
            </w:r>
          </w:p>
          <w:p w:rsidR="005325AC" w:rsidRPr="000C3D13" w:rsidRDefault="005325AC" w:rsidP="008A29F1">
            <w:pPr>
              <w:pStyle w:val="Paragrafoelenco"/>
              <w:numPr>
                <w:ilvl w:val="0"/>
                <w:numId w:val="16"/>
              </w:numPr>
              <w:spacing w:after="0" w:line="240" w:lineRule="auto"/>
              <w:contextualSpacing w:val="0"/>
              <w:jc w:val="both"/>
            </w:pPr>
            <w:r w:rsidRPr="000C3D13">
              <w:t>implementazione dei percorsi diagnostici terapeutici per l’</w:t>
            </w:r>
            <w:proofErr w:type="spellStart"/>
            <w:r w:rsidRPr="000C3D13">
              <w:t>onco-ematologia</w:t>
            </w:r>
            <w:proofErr w:type="spellEnd"/>
          </w:p>
          <w:p w:rsidR="005325AC" w:rsidRPr="000C3D13" w:rsidRDefault="005325AC" w:rsidP="008A29F1">
            <w:pPr>
              <w:pStyle w:val="Paragrafoelenco"/>
              <w:numPr>
                <w:ilvl w:val="0"/>
                <w:numId w:val="16"/>
              </w:numPr>
              <w:spacing w:after="0" w:line="240" w:lineRule="auto"/>
              <w:contextualSpacing w:val="0"/>
              <w:jc w:val="both"/>
            </w:pPr>
            <w:r w:rsidRPr="000C3D13">
              <w:t>stesura e aggiornamento di linee guida e schede per l’inserimento di nuovi farmaci per il trattamento di melanoma, neoplasie polmone, colon-retto e rene</w:t>
            </w:r>
          </w:p>
          <w:p w:rsidR="005325AC" w:rsidRPr="00BA1021" w:rsidRDefault="005325AC" w:rsidP="008A29F1">
            <w:pPr>
              <w:pStyle w:val="Paragrafoelenco"/>
              <w:numPr>
                <w:ilvl w:val="0"/>
                <w:numId w:val="16"/>
              </w:numPr>
              <w:spacing w:after="0" w:line="240" w:lineRule="auto"/>
              <w:contextualSpacing w:val="0"/>
              <w:jc w:val="both"/>
            </w:pPr>
            <w:r w:rsidRPr="000C3D13">
              <w:t xml:space="preserve">trasferimento della funzione di Oncologia al CRO dall’ AAS5 </w:t>
            </w:r>
            <w:r w:rsidRPr="000C3D13">
              <w:rPr>
                <w:rFonts w:cstheme="minorHAnsi"/>
              </w:rPr>
              <w:t>(entro dicembre 2015).</w:t>
            </w:r>
          </w:p>
          <w:p w:rsidR="005325AC" w:rsidRPr="000C3D13" w:rsidRDefault="005325AC" w:rsidP="000D30D1">
            <w:pPr>
              <w:pStyle w:val="Paragrafoelenco"/>
              <w:spacing w:after="0" w:line="240" w:lineRule="auto"/>
              <w:jc w:val="both"/>
            </w:pPr>
          </w:p>
        </w:tc>
      </w:tr>
      <w:tr w:rsidR="005325AC" w:rsidRPr="0030525A" w:rsidTr="000D30D1">
        <w:trPr>
          <w:jc w:val="center"/>
        </w:trPr>
        <w:tc>
          <w:tcPr>
            <w:tcW w:w="985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325AC" w:rsidRPr="003006A5" w:rsidRDefault="005325AC" w:rsidP="000D30D1">
            <w:pPr>
              <w:jc w:val="both"/>
              <w:outlineLvl w:val="0"/>
              <w:rPr>
                <w:rFonts w:eastAsia="MS Mincho" w:cs="Calibri"/>
                <w:b/>
              </w:rPr>
            </w:pPr>
            <w:r>
              <w:rPr>
                <w:rFonts w:eastAsia="MS Mincho" w:cs="Calibri"/>
                <w:b/>
              </w:rPr>
              <w:lastRenderedPageBreak/>
              <w:t>Attuazione al 31.12.2015</w:t>
            </w:r>
          </w:p>
          <w:p w:rsidR="005325AC" w:rsidRPr="00CE5546" w:rsidRDefault="005325AC" w:rsidP="008A29F1">
            <w:pPr>
              <w:pStyle w:val="Paragrafoelenco"/>
              <w:numPr>
                <w:ilvl w:val="1"/>
                <w:numId w:val="27"/>
              </w:numPr>
              <w:spacing w:after="0" w:line="240" w:lineRule="auto"/>
              <w:ind w:left="461" w:hanging="274"/>
              <w:contextualSpacing w:val="0"/>
              <w:jc w:val="both"/>
              <w:outlineLvl w:val="0"/>
              <w:rPr>
                <w:rFonts w:cstheme="minorHAnsi"/>
                <w:bCs/>
              </w:rPr>
            </w:pPr>
            <w:r w:rsidRPr="00CE5546">
              <w:rPr>
                <w:rFonts w:eastAsia="Times New Roman" w:cs="DecimaWERg"/>
              </w:rPr>
              <w:t>attività rinviata al 2016 come da indicazioni contenute nelle linee per la gestione del SSR anno 2016 approvate con DGR n. 2559 del 22.12.2015.</w:t>
            </w:r>
          </w:p>
          <w:p w:rsidR="005325AC" w:rsidRPr="00867A58" w:rsidRDefault="005325AC" w:rsidP="008A29F1">
            <w:pPr>
              <w:pStyle w:val="Paragrafoelenco"/>
              <w:numPr>
                <w:ilvl w:val="1"/>
                <w:numId w:val="27"/>
              </w:numPr>
              <w:spacing w:after="0" w:line="240" w:lineRule="auto"/>
              <w:ind w:left="461" w:hanging="274"/>
              <w:contextualSpacing w:val="0"/>
              <w:jc w:val="both"/>
              <w:outlineLvl w:val="0"/>
              <w:rPr>
                <w:rFonts w:cstheme="minorHAnsi"/>
                <w:bCs/>
              </w:rPr>
            </w:pPr>
            <w:r w:rsidRPr="00867A58">
              <w:rPr>
                <w:rFonts w:cstheme="minorHAnsi"/>
                <w:bCs/>
              </w:rPr>
              <w:t xml:space="preserve">con nota AAS 5 </w:t>
            </w:r>
            <w:proofErr w:type="spellStart"/>
            <w:r w:rsidRPr="00867A58">
              <w:rPr>
                <w:rFonts w:cstheme="minorHAnsi"/>
                <w:bCs/>
              </w:rPr>
              <w:t>prot</w:t>
            </w:r>
            <w:proofErr w:type="spellEnd"/>
            <w:r w:rsidRPr="00867A58">
              <w:rPr>
                <w:rFonts w:cstheme="minorHAnsi"/>
                <w:bCs/>
              </w:rPr>
              <w:t>. 36649 del 22.05.2015 le direzioni sanitarie aziendali (CRO e AAS 5) hanno approvato il progetto di integrazione della funzione di ematologia in Area Vasta”.</w:t>
            </w:r>
          </w:p>
          <w:p w:rsidR="005325AC" w:rsidRPr="00441619" w:rsidRDefault="005325AC" w:rsidP="008A29F1">
            <w:pPr>
              <w:pStyle w:val="Paragrafoelenco"/>
              <w:numPr>
                <w:ilvl w:val="1"/>
                <w:numId w:val="27"/>
              </w:numPr>
              <w:spacing w:after="0" w:line="240" w:lineRule="auto"/>
              <w:ind w:left="461" w:hanging="274"/>
              <w:contextualSpacing w:val="0"/>
              <w:outlineLvl w:val="0"/>
              <w:rPr>
                <w:rFonts w:cs="Tahoma"/>
                <w:color w:val="000000"/>
              </w:rPr>
            </w:pPr>
            <w:r w:rsidRPr="009E0433">
              <w:rPr>
                <w:rFonts w:cstheme="minorHAnsi"/>
                <w:bCs/>
                <w:u w:val="single"/>
              </w:rPr>
              <w:t>colon</w:t>
            </w:r>
            <w:r w:rsidRPr="009E0433">
              <w:rPr>
                <w:rFonts w:cs="Tahoma"/>
                <w:color w:val="000000"/>
                <w:u w:val="single"/>
              </w:rPr>
              <w:t xml:space="preserve"> retto</w:t>
            </w:r>
            <w:r w:rsidRPr="00441619">
              <w:rPr>
                <w:rFonts w:cs="Tahoma"/>
                <w:color w:val="000000"/>
              </w:rPr>
              <w:t>: sono state definitivamente adottate le linee guida interne all'Istituto sul trattamento del carcinoma colon-retto in fase adiuvante, localmente avanzat</w:t>
            </w:r>
            <w:r>
              <w:rPr>
                <w:rFonts w:cs="Tahoma"/>
                <w:color w:val="000000"/>
              </w:rPr>
              <w:t>o</w:t>
            </w:r>
            <w:r w:rsidRPr="00441619">
              <w:rPr>
                <w:rFonts w:cs="Tahoma"/>
                <w:color w:val="000000"/>
              </w:rPr>
              <w:t xml:space="preserve"> e metastatic</w:t>
            </w:r>
            <w:r>
              <w:rPr>
                <w:rFonts w:cs="Tahoma"/>
                <w:color w:val="000000"/>
              </w:rPr>
              <w:t>o</w:t>
            </w:r>
            <w:r w:rsidRPr="00441619">
              <w:rPr>
                <w:rFonts w:cs="Tahoma"/>
                <w:color w:val="000000"/>
              </w:rPr>
              <w:t>.</w:t>
            </w:r>
          </w:p>
          <w:p w:rsidR="005325AC" w:rsidRPr="00441619" w:rsidRDefault="005325AC" w:rsidP="000D30D1">
            <w:pPr>
              <w:pStyle w:val="NormaleWeb"/>
              <w:ind w:left="450"/>
              <w:jc w:val="both"/>
              <w:rPr>
                <w:rFonts w:asciiTheme="minorHAnsi" w:hAnsiTheme="minorHAnsi" w:cs="Tahoma"/>
                <w:color w:val="000000"/>
                <w:sz w:val="22"/>
                <w:szCs w:val="22"/>
              </w:rPr>
            </w:pPr>
            <w:r w:rsidRPr="009E0433">
              <w:rPr>
                <w:rFonts w:asciiTheme="minorHAnsi" w:hAnsiTheme="minorHAnsi" w:cs="Tahoma"/>
                <w:color w:val="000000"/>
                <w:sz w:val="22"/>
                <w:szCs w:val="22"/>
                <w:u w:val="single"/>
              </w:rPr>
              <w:t>polmone</w:t>
            </w:r>
            <w:r w:rsidRPr="00441619">
              <w:rPr>
                <w:rFonts w:asciiTheme="minorHAnsi" w:hAnsiTheme="minorHAnsi" w:cs="Tahoma"/>
                <w:color w:val="000000"/>
                <w:sz w:val="22"/>
                <w:szCs w:val="22"/>
              </w:rPr>
              <w:t>: è stata redatta una linea guida</w:t>
            </w:r>
            <w:r>
              <w:rPr>
                <w:rFonts w:asciiTheme="minorHAnsi" w:hAnsiTheme="minorHAnsi" w:cs="Tahoma"/>
                <w:color w:val="000000"/>
                <w:sz w:val="22"/>
                <w:szCs w:val="22"/>
              </w:rPr>
              <w:t xml:space="preserve"> per le neoplasie del polmone avanzato per l’impiego dei </w:t>
            </w:r>
            <w:r w:rsidRPr="00441619">
              <w:rPr>
                <w:rFonts w:asciiTheme="minorHAnsi" w:hAnsiTheme="minorHAnsi" w:cs="Tahoma"/>
                <w:color w:val="000000"/>
                <w:sz w:val="22"/>
                <w:szCs w:val="22"/>
              </w:rPr>
              <w:t>nuovi farmaci</w:t>
            </w:r>
            <w:r>
              <w:rPr>
                <w:rFonts w:asciiTheme="minorHAnsi" w:hAnsiTheme="minorHAnsi" w:cs="Tahoma"/>
                <w:color w:val="000000"/>
                <w:sz w:val="22"/>
                <w:szCs w:val="22"/>
              </w:rPr>
              <w:t xml:space="preserve">, in particolare è stato istituito un flusso </w:t>
            </w:r>
            <w:r w:rsidRPr="00441619">
              <w:rPr>
                <w:rFonts w:asciiTheme="minorHAnsi" w:hAnsiTheme="minorHAnsi" w:cs="Tahoma"/>
                <w:color w:val="000000"/>
                <w:sz w:val="22"/>
                <w:szCs w:val="22"/>
              </w:rPr>
              <w:t xml:space="preserve">per la richiesta di </w:t>
            </w:r>
            <w:proofErr w:type="spellStart"/>
            <w:r w:rsidRPr="00441619">
              <w:rPr>
                <w:rFonts w:asciiTheme="minorHAnsi" w:hAnsiTheme="minorHAnsi" w:cs="Tahoma"/>
                <w:color w:val="000000"/>
                <w:sz w:val="22"/>
                <w:szCs w:val="22"/>
              </w:rPr>
              <w:t>nivolumab</w:t>
            </w:r>
            <w:proofErr w:type="spellEnd"/>
            <w:r w:rsidRPr="00441619">
              <w:rPr>
                <w:rFonts w:asciiTheme="minorHAnsi" w:hAnsiTheme="minorHAnsi" w:cs="Tahoma"/>
                <w:color w:val="000000"/>
                <w:sz w:val="22"/>
                <w:szCs w:val="22"/>
              </w:rPr>
              <w:t>.</w:t>
            </w:r>
          </w:p>
          <w:p w:rsidR="005325AC" w:rsidRDefault="005325AC" w:rsidP="000D30D1">
            <w:pPr>
              <w:pStyle w:val="NormaleWeb"/>
              <w:ind w:left="450"/>
              <w:jc w:val="both"/>
              <w:rPr>
                <w:rFonts w:asciiTheme="minorHAnsi" w:hAnsiTheme="minorHAnsi"/>
                <w:sz w:val="22"/>
                <w:szCs w:val="22"/>
              </w:rPr>
            </w:pPr>
            <w:r w:rsidRPr="009E0433">
              <w:rPr>
                <w:rFonts w:asciiTheme="minorHAnsi" w:hAnsiTheme="minorHAnsi" w:cs="Tahoma"/>
                <w:sz w:val="22"/>
                <w:szCs w:val="22"/>
                <w:u w:val="single"/>
              </w:rPr>
              <w:t>melanoma</w:t>
            </w:r>
            <w:r w:rsidRPr="00441619">
              <w:rPr>
                <w:rFonts w:asciiTheme="minorHAnsi" w:hAnsiTheme="minorHAnsi" w:cs="Tahoma"/>
                <w:sz w:val="22"/>
                <w:szCs w:val="22"/>
              </w:rPr>
              <w:t xml:space="preserve">: </w:t>
            </w:r>
            <w:r w:rsidRPr="00441619">
              <w:rPr>
                <w:rFonts w:asciiTheme="minorHAnsi" w:hAnsiTheme="minorHAnsi"/>
                <w:sz w:val="22"/>
                <w:szCs w:val="22"/>
              </w:rPr>
              <w:t>è stato definito e aggiornato il PDTA per i pazienti affetti da melanoma con l’individuazione degli indicatori da monitorare.</w:t>
            </w:r>
          </w:p>
          <w:p w:rsidR="005325AC" w:rsidRPr="001F4E1F" w:rsidRDefault="005325AC" w:rsidP="000D30D1">
            <w:pPr>
              <w:pStyle w:val="NormaleWeb"/>
              <w:ind w:left="450"/>
              <w:jc w:val="both"/>
              <w:rPr>
                <w:rFonts w:asciiTheme="minorHAnsi" w:hAnsiTheme="minorHAnsi"/>
                <w:sz w:val="22"/>
                <w:szCs w:val="22"/>
                <w:u w:val="single"/>
              </w:rPr>
            </w:pPr>
            <w:r>
              <w:rPr>
                <w:rFonts w:asciiTheme="minorHAnsi" w:hAnsiTheme="minorHAnsi" w:cs="Tahoma"/>
                <w:sz w:val="22"/>
                <w:szCs w:val="22"/>
                <w:u w:val="single"/>
              </w:rPr>
              <w:t>rene:</w:t>
            </w:r>
            <w:r>
              <w:rPr>
                <w:rFonts w:asciiTheme="minorHAnsi" w:hAnsiTheme="minorHAnsi"/>
                <w:sz w:val="22"/>
                <w:szCs w:val="22"/>
              </w:rPr>
              <w:t xml:space="preserve"> è stata prodotta una linea guida che riguarda l’impiego di tutti i farmaci ad alto costo.</w:t>
            </w:r>
          </w:p>
          <w:p w:rsidR="005325AC" w:rsidRPr="00867A58" w:rsidRDefault="005325AC" w:rsidP="008A29F1">
            <w:pPr>
              <w:pStyle w:val="Paragrafoelenco"/>
              <w:numPr>
                <w:ilvl w:val="1"/>
                <w:numId w:val="27"/>
              </w:numPr>
              <w:spacing w:after="0" w:line="240" w:lineRule="auto"/>
              <w:ind w:left="461" w:hanging="274"/>
              <w:contextualSpacing w:val="0"/>
              <w:jc w:val="both"/>
              <w:outlineLvl w:val="0"/>
              <w:rPr>
                <w:rFonts w:cstheme="minorHAnsi"/>
                <w:bCs/>
              </w:rPr>
            </w:pPr>
            <w:r w:rsidRPr="00967C50">
              <w:rPr>
                <w:rFonts w:eastAsia="Times New Roman" w:cs="DecimaWERg"/>
              </w:rPr>
              <w:t xml:space="preserve">attività </w:t>
            </w:r>
            <w:r>
              <w:rPr>
                <w:rFonts w:eastAsia="Times New Roman" w:cs="DecimaWERg"/>
              </w:rPr>
              <w:t xml:space="preserve">rinviata </w:t>
            </w:r>
            <w:r w:rsidRPr="00967C50">
              <w:rPr>
                <w:rFonts w:eastAsia="Times New Roman" w:cs="DecimaWERg"/>
              </w:rPr>
              <w:t xml:space="preserve">al </w:t>
            </w:r>
            <w:r>
              <w:rPr>
                <w:rFonts w:eastAsia="Times New Roman" w:cs="DecimaWERg"/>
              </w:rPr>
              <w:t>2016 come da indicazioni contenute nelle linee per la gestione del SSR anno 2016 approvate con DGR n. 2559 del 22.12.2015</w:t>
            </w:r>
            <w:r w:rsidRPr="00967C50">
              <w:rPr>
                <w:rFonts w:eastAsia="Times New Roman" w:cs="DecimaWERg"/>
              </w:rPr>
              <w:t>.</w:t>
            </w:r>
          </w:p>
        </w:tc>
      </w:tr>
      <w:tr w:rsidR="005325AC" w:rsidRPr="00F269B5" w:rsidTr="000D3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169"/>
          <w:jc w:val="center"/>
        </w:trPr>
        <w:tc>
          <w:tcPr>
            <w:tcW w:w="4533" w:type="dxa"/>
            <w:tcBorders>
              <w:top w:val="single" w:sz="8" w:space="0" w:color="000000"/>
              <w:left w:val="single" w:sz="8" w:space="0" w:color="000000"/>
              <w:bottom w:val="single" w:sz="4" w:space="0" w:color="auto"/>
              <w:right w:val="single" w:sz="8" w:space="0" w:color="000000"/>
            </w:tcBorders>
            <w:shd w:val="clear" w:color="auto" w:fill="E6E6E6"/>
            <w:tcMar>
              <w:top w:w="0" w:type="dxa"/>
              <w:left w:w="70" w:type="dxa"/>
              <w:bottom w:w="0" w:type="dxa"/>
              <w:right w:w="70" w:type="dxa"/>
            </w:tcMar>
          </w:tcPr>
          <w:p w:rsidR="005325AC" w:rsidRPr="00432201" w:rsidRDefault="005325AC" w:rsidP="000D30D1">
            <w:pPr>
              <w:jc w:val="both"/>
              <w:rPr>
                <w:rFonts w:eastAsia="MS Mincho"/>
                <w:b/>
              </w:rPr>
            </w:pPr>
            <w:r w:rsidRPr="00432201">
              <w:rPr>
                <w:rFonts w:eastAsia="MS Mincho"/>
                <w:b/>
              </w:rPr>
              <w:t>Obiettivo aziendale</w:t>
            </w:r>
          </w:p>
          <w:p w:rsidR="005325AC" w:rsidRPr="00432201" w:rsidRDefault="005325AC" w:rsidP="000D30D1">
            <w:pPr>
              <w:jc w:val="both"/>
              <w:rPr>
                <w:rFonts w:eastAsia="MS Mincho"/>
              </w:rPr>
            </w:pPr>
            <w:r w:rsidRPr="00432201">
              <w:rPr>
                <w:rFonts w:eastAsia="MS Mincho"/>
              </w:rPr>
              <w:t>Cure palliative e terapia del dolore</w:t>
            </w:r>
          </w:p>
        </w:tc>
        <w:tc>
          <w:tcPr>
            <w:tcW w:w="5321" w:type="dxa"/>
            <w:tcBorders>
              <w:top w:val="single" w:sz="8" w:space="0" w:color="000000"/>
              <w:left w:val="single" w:sz="8" w:space="0" w:color="000000"/>
              <w:bottom w:val="single" w:sz="4" w:space="0" w:color="auto"/>
              <w:right w:val="single" w:sz="8" w:space="0" w:color="000000"/>
            </w:tcBorders>
            <w:shd w:val="clear" w:color="auto" w:fill="E6E6E6"/>
            <w:tcMar>
              <w:top w:w="0" w:type="dxa"/>
              <w:left w:w="70" w:type="dxa"/>
              <w:bottom w:w="0" w:type="dxa"/>
              <w:right w:w="70" w:type="dxa"/>
            </w:tcMar>
          </w:tcPr>
          <w:p w:rsidR="005325AC" w:rsidRPr="00432201" w:rsidRDefault="005325AC" w:rsidP="000D30D1">
            <w:pPr>
              <w:jc w:val="both"/>
              <w:rPr>
                <w:rFonts w:eastAsia="MS Mincho"/>
                <w:b/>
              </w:rPr>
            </w:pPr>
            <w:r w:rsidRPr="00432201">
              <w:rPr>
                <w:rFonts w:eastAsia="MS Mincho"/>
                <w:b/>
              </w:rPr>
              <w:t>Risultato atteso</w:t>
            </w:r>
          </w:p>
          <w:p w:rsidR="005325AC" w:rsidRPr="00227DC3" w:rsidRDefault="005325AC" w:rsidP="000D30D1">
            <w:pPr>
              <w:ind w:left="360"/>
              <w:jc w:val="both"/>
              <w:rPr>
                <w:rFonts w:cstheme="minorHAnsi"/>
              </w:rPr>
            </w:pPr>
            <w:r w:rsidRPr="00432201">
              <w:rPr>
                <w:rFonts w:cstheme="minorHAnsi"/>
              </w:rPr>
              <w:t xml:space="preserve">Sviluppo della presa in carico coordinata ed integrata tra i diversi </w:t>
            </w:r>
            <w:proofErr w:type="spellStart"/>
            <w:r w:rsidRPr="00432201">
              <w:rPr>
                <w:rFonts w:cstheme="minorHAnsi"/>
              </w:rPr>
              <w:t>setting</w:t>
            </w:r>
            <w:proofErr w:type="spellEnd"/>
            <w:r w:rsidRPr="00432201">
              <w:rPr>
                <w:rFonts w:cstheme="minorHAnsi"/>
              </w:rPr>
              <w:t xml:space="preserve"> in collaborazione con AAS5, in </w:t>
            </w:r>
            <w:r w:rsidRPr="00227DC3">
              <w:rPr>
                <w:rFonts w:cstheme="minorHAnsi"/>
              </w:rPr>
              <w:t>particolare per i pazienti oncologici.</w:t>
            </w:r>
          </w:p>
          <w:p w:rsidR="005325AC" w:rsidRPr="00227DC3" w:rsidRDefault="005325AC" w:rsidP="008A29F1">
            <w:pPr>
              <w:pStyle w:val="Default"/>
              <w:numPr>
                <w:ilvl w:val="0"/>
                <w:numId w:val="24"/>
              </w:numPr>
              <w:autoSpaceDE/>
              <w:autoSpaceDN/>
              <w:adjustRightInd/>
              <w:jc w:val="both"/>
              <w:rPr>
                <w:rFonts w:ascii="DecimaWE Rg" w:hAnsi="DecimaWE Rg"/>
                <w:sz w:val="22"/>
                <w:szCs w:val="22"/>
              </w:rPr>
            </w:pPr>
            <w:r w:rsidRPr="00227DC3">
              <w:rPr>
                <w:rFonts w:ascii="DecimaWE Rg" w:hAnsi="DecimaWE Rg"/>
                <w:sz w:val="22"/>
                <w:szCs w:val="22"/>
              </w:rPr>
              <w:t xml:space="preserve">-Utilizzo degli strumenti di valutazione del dolore e delle modalità operative di documentazione sia per le strutture sanitarie pubbliche, che private accreditate, che per quanto riguarda l’assistenza domiciliare. </w:t>
            </w:r>
          </w:p>
          <w:p w:rsidR="005325AC" w:rsidRPr="00432201" w:rsidRDefault="005325AC" w:rsidP="008A29F1">
            <w:pPr>
              <w:pStyle w:val="Default"/>
              <w:numPr>
                <w:ilvl w:val="0"/>
                <w:numId w:val="24"/>
              </w:numPr>
              <w:autoSpaceDE/>
              <w:autoSpaceDN/>
              <w:adjustRightInd/>
              <w:jc w:val="both"/>
              <w:rPr>
                <w:rFonts w:asciiTheme="minorHAnsi" w:eastAsia="MS Mincho" w:hAnsiTheme="minorHAnsi"/>
              </w:rPr>
            </w:pPr>
            <w:r w:rsidRPr="00227DC3">
              <w:rPr>
                <w:rFonts w:ascii="DecimaWE Rg" w:hAnsi="DecimaWE Rg"/>
                <w:sz w:val="22"/>
                <w:szCs w:val="22"/>
              </w:rPr>
              <w:t>-Aumento del 10% dei decessi in abitazione/domicilio per le persone di età &gt; ai 65 anni.</w:t>
            </w:r>
          </w:p>
        </w:tc>
      </w:tr>
      <w:tr w:rsidR="005325AC" w:rsidRPr="0030525A" w:rsidTr="000D30D1">
        <w:trPr>
          <w:jc w:val="center"/>
        </w:trPr>
        <w:tc>
          <w:tcPr>
            <w:tcW w:w="985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325AC" w:rsidRPr="00B272EB" w:rsidRDefault="005325AC" w:rsidP="000D30D1">
            <w:pPr>
              <w:jc w:val="both"/>
              <w:outlineLvl w:val="0"/>
              <w:rPr>
                <w:rFonts w:eastAsia="MS Mincho" w:cs="Calibri"/>
                <w:b/>
              </w:rPr>
            </w:pPr>
            <w:r w:rsidRPr="00B272EB">
              <w:rPr>
                <w:rFonts w:eastAsia="MS Mincho" w:cs="Calibri"/>
                <w:b/>
              </w:rPr>
              <w:t>Attuazione al 31.12.2015</w:t>
            </w:r>
          </w:p>
          <w:p w:rsidR="005325AC" w:rsidRPr="00B272EB" w:rsidRDefault="005325AC" w:rsidP="008A29F1">
            <w:pPr>
              <w:pStyle w:val="Paragrafoelenco"/>
              <w:numPr>
                <w:ilvl w:val="0"/>
                <w:numId w:val="25"/>
              </w:numPr>
              <w:spacing w:after="0" w:line="240" w:lineRule="auto"/>
              <w:ind w:left="432"/>
              <w:contextualSpacing w:val="0"/>
              <w:jc w:val="both"/>
              <w:outlineLvl w:val="0"/>
              <w:rPr>
                <w:rFonts w:cstheme="minorHAnsi"/>
                <w:b/>
                <w:bCs/>
              </w:rPr>
            </w:pPr>
            <w:r w:rsidRPr="00B272EB">
              <w:rPr>
                <w:rFonts w:cs="Tahoma"/>
                <w:color w:val="000000"/>
              </w:rPr>
              <w:t xml:space="preserve">E’ proseguito il monitoraggio del dolore nei pazienti ricoverati o in accesso ambulatoriale mediante scala VNRS 0-10. </w:t>
            </w:r>
          </w:p>
          <w:p w:rsidR="005325AC" w:rsidRPr="00B272EB" w:rsidRDefault="005325AC" w:rsidP="008A29F1">
            <w:pPr>
              <w:pStyle w:val="Paragrafoelenco"/>
              <w:numPr>
                <w:ilvl w:val="0"/>
                <w:numId w:val="25"/>
              </w:numPr>
              <w:spacing w:after="0" w:line="240" w:lineRule="auto"/>
              <w:ind w:left="432"/>
              <w:contextualSpacing w:val="0"/>
              <w:jc w:val="both"/>
              <w:outlineLvl w:val="0"/>
              <w:rPr>
                <w:rFonts w:cs="Tahoma"/>
                <w:color w:val="000000"/>
              </w:rPr>
            </w:pPr>
            <w:r w:rsidRPr="00B272EB">
              <w:rPr>
                <w:rFonts w:cstheme="minorHAnsi"/>
                <w:bCs/>
              </w:rPr>
              <w:t xml:space="preserve">I </w:t>
            </w:r>
            <w:r w:rsidRPr="00B272EB">
              <w:rPr>
                <w:rFonts w:cs="Tahoma"/>
                <w:color w:val="000000"/>
              </w:rPr>
              <w:t>decessi</w:t>
            </w:r>
            <w:r w:rsidRPr="00B272EB">
              <w:rPr>
                <w:rFonts w:cstheme="minorHAnsi"/>
                <w:bCs/>
              </w:rPr>
              <w:t xml:space="preserve"> in abitazione per le persone in età &gt; di 65 anni sono aumentati di oltre il 10%. </w:t>
            </w:r>
            <w:r w:rsidRPr="00B272EB">
              <w:rPr>
                <w:rFonts w:ascii="Garamond" w:hAnsi="Garamond" w:cs="Arial"/>
              </w:rPr>
              <w:t xml:space="preserve"> </w:t>
            </w:r>
            <w:r w:rsidRPr="00B272EB">
              <w:rPr>
                <w:rFonts w:cstheme="minorHAnsi"/>
                <w:bCs/>
              </w:rPr>
              <w:t>Nel  2014 sono stati 23 mentre nel 2015 sono stati 31, con un aumento del 34,8%</w:t>
            </w:r>
            <w:r>
              <w:rPr>
                <w:rFonts w:cstheme="minorHAnsi"/>
                <w:bCs/>
              </w:rPr>
              <w:t xml:space="preserve"> (dati forniti dall’AAS 5).</w:t>
            </w:r>
          </w:p>
          <w:p w:rsidR="005325AC" w:rsidRPr="00B272EB" w:rsidRDefault="005325AC" w:rsidP="000D30D1">
            <w:pPr>
              <w:jc w:val="both"/>
              <w:outlineLvl w:val="0"/>
              <w:rPr>
                <w:rFonts w:cs="Tahoma"/>
                <w:color w:val="000000"/>
              </w:rPr>
            </w:pPr>
            <w:r w:rsidRPr="00B272EB">
              <w:rPr>
                <w:rFonts w:cs="Tahoma"/>
                <w:color w:val="000000"/>
              </w:rPr>
              <w:t xml:space="preserve">Nell’ambito della continuità assistenziale con il territorio, in collaborazione con la AAS5, sono state eseguite </w:t>
            </w:r>
            <w:r w:rsidRPr="00B272EB">
              <w:rPr>
                <w:rFonts w:cs="Tahoma"/>
                <w:color w:val="000000"/>
              </w:rPr>
              <w:lastRenderedPageBreak/>
              <w:t>nella provincia di Pordenone:</w:t>
            </w:r>
          </w:p>
          <w:p w:rsidR="005325AC" w:rsidRPr="00B272EB" w:rsidRDefault="005325AC" w:rsidP="000D30D1">
            <w:pPr>
              <w:jc w:val="both"/>
              <w:outlineLvl w:val="0"/>
              <w:rPr>
                <w:rFonts w:cs="Tahoma"/>
                <w:color w:val="000000"/>
              </w:rPr>
            </w:pPr>
            <w:r w:rsidRPr="00B272EB">
              <w:rPr>
                <w:rFonts w:cs="Tahoma"/>
                <w:color w:val="000000"/>
                <w:u w:val="single"/>
              </w:rPr>
              <w:t>primo semestre</w:t>
            </w:r>
            <w:r w:rsidRPr="00B272EB">
              <w:rPr>
                <w:rFonts w:cs="Tahoma"/>
                <w:color w:val="000000"/>
              </w:rPr>
              <w:t xml:space="preserve">: 201 interventi, tra i quali 37 posizionamenti (a domicilio e in </w:t>
            </w:r>
            <w:proofErr w:type="spellStart"/>
            <w:r w:rsidRPr="00B272EB">
              <w:rPr>
                <w:rFonts w:cs="Tahoma"/>
                <w:color w:val="000000"/>
              </w:rPr>
              <w:t>hospice</w:t>
            </w:r>
            <w:proofErr w:type="spellEnd"/>
            <w:r w:rsidRPr="00B272EB">
              <w:rPr>
                <w:rFonts w:cs="Tahoma"/>
                <w:color w:val="000000"/>
              </w:rPr>
              <w:t>) di accessi venosi a permanenza e 164 visite specialistiche a domicilio</w:t>
            </w:r>
          </w:p>
          <w:p w:rsidR="005325AC" w:rsidRPr="00B272EB" w:rsidRDefault="005325AC" w:rsidP="000D30D1">
            <w:pPr>
              <w:jc w:val="both"/>
              <w:outlineLvl w:val="0"/>
              <w:rPr>
                <w:rFonts w:cs="Tahoma"/>
                <w:color w:val="000000"/>
              </w:rPr>
            </w:pPr>
            <w:r w:rsidRPr="00B272EB">
              <w:rPr>
                <w:rFonts w:cs="Tahoma"/>
                <w:color w:val="000000"/>
                <w:u w:val="single"/>
              </w:rPr>
              <w:t>secondo semestre</w:t>
            </w:r>
            <w:r w:rsidRPr="00B272EB">
              <w:rPr>
                <w:rFonts w:cs="Tahoma"/>
                <w:color w:val="000000"/>
              </w:rPr>
              <w:t xml:space="preserve">: 154 visite specialistiche tra domicilio del paziente, </w:t>
            </w:r>
            <w:proofErr w:type="spellStart"/>
            <w:r w:rsidRPr="00B272EB">
              <w:rPr>
                <w:rFonts w:cs="Tahoma"/>
                <w:color w:val="000000"/>
              </w:rPr>
              <w:t>Hospice</w:t>
            </w:r>
            <w:proofErr w:type="spellEnd"/>
            <w:r w:rsidRPr="00B272EB">
              <w:rPr>
                <w:rFonts w:cs="Tahoma"/>
                <w:color w:val="000000"/>
              </w:rPr>
              <w:t xml:space="preserve">, </w:t>
            </w:r>
            <w:proofErr w:type="spellStart"/>
            <w:r w:rsidRPr="00B272EB">
              <w:rPr>
                <w:rFonts w:cs="Tahoma"/>
                <w:color w:val="000000"/>
              </w:rPr>
              <w:t>R.S.A.</w:t>
            </w:r>
            <w:proofErr w:type="spellEnd"/>
            <w:r w:rsidRPr="00B272EB">
              <w:rPr>
                <w:rFonts w:cs="Tahoma"/>
                <w:color w:val="000000"/>
              </w:rPr>
              <w:t xml:space="preserve"> e case di riposo. Nell’ambito di queste sono stati posizionati 50 accessi vascolari permanenti con </w:t>
            </w:r>
            <w:proofErr w:type="spellStart"/>
            <w:r w:rsidRPr="00B272EB">
              <w:rPr>
                <w:rFonts w:cs="Tahoma"/>
                <w:color w:val="000000"/>
              </w:rPr>
              <w:t>ecoguida</w:t>
            </w:r>
            <w:proofErr w:type="spellEnd"/>
            <w:r w:rsidRPr="00B272EB">
              <w:rPr>
                <w:rFonts w:cs="Tahoma"/>
                <w:color w:val="000000"/>
              </w:rPr>
              <w:t xml:space="preserve"> al letto del paziente.</w:t>
            </w:r>
          </w:p>
        </w:tc>
      </w:tr>
      <w:tr w:rsidR="005325AC" w:rsidRPr="00066502" w:rsidTr="000D3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194"/>
          <w:jc w:val="center"/>
        </w:trPr>
        <w:tc>
          <w:tcPr>
            <w:tcW w:w="98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5325AC" w:rsidRPr="00066502" w:rsidRDefault="005325AC" w:rsidP="000D30D1">
            <w:pPr>
              <w:jc w:val="both"/>
              <w:rPr>
                <w:rFonts w:eastAsia="MS Mincho"/>
                <w:b/>
              </w:rPr>
            </w:pPr>
            <w:r w:rsidRPr="00066502">
              <w:rPr>
                <w:rFonts w:cs="DecimaWE Rg"/>
                <w:b/>
                <w:bCs/>
              </w:rPr>
              <w:lastRenderedPageBreak/>
              <w:t xml:space="preserve">Linea </w:t>
            </w:r>
            <w:r w:rsidRPr="00066502">
              <w:rPr>
                <w:rFonts w:cs="DecimaWERg"/>
                <w:b/>
              </w:rPr>
              <w:t>progettuale</w:t>
            </w:r>
            <w:r w:rsidRPr="00066502">
              <w:rPr>
                <w:rFonts w:cs="DecimaWE Rg"/>
                <w:b/>
                <w:bCs/>
              </w:rPr>
              <w:t xml:space="preserve"> n. 3.4.5 </w:t>
            </w:r>
            <w:r w:rsidRPr="00066502">
              <w:rPr>
                <w:rFonts w:cs="DecimaWERg"/>
                <w:b/>
              </w:rPr>
              <w:t xml:space="preserve">Sangue ed </w:t>
            </w:r>
            <w:proofErr w:type="spellStart"/>
            <w:r w:rsidRPr="00066502">
              <w:rPr>
                <w:rFonts w:cs="DecimaWERg"/>
                <w:b/>
              </w:rPr>
              <w:t>emocomponenti</w:t>
            </w:r>
            <w:proofErr w:type="spellEnd"/>
          </w:p>
        </w:tc>
      </w:tr>
      <w:tr w:rsidR="005325AC" w:rsidRPr="00066502" w:rsidTr="000D3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169"/>
          <w:jc w:val="center"/>
        </w:trPr>
        <w:tc>
          <w:tcPr>
            <w:tcW w:w="4533" w:type="dxa"/>
            <w:tcBorders>
              <w:top w:val="single" w:sz="8" w:space="0" w:color="000000"/>
              <w:left w:val="single" w:sz="8" w:space="0" w:color="000000"/>
              <w:bottom w:val="single" w:sz="4" w:space="0" w:color="auto"/>
              <w:right w:val="single" w:sz="8" w:space="0" w:color="000000"/>
            </w:tcBorders>
            <w:shd w:val="clear" w:color="auto" w:fill="E6E6E6"/>
            <w:tcMar>
              <w:top w:w="0" w:type="dxa"/>
              <w:left w:w="70" w:type="dxa"/>
              <w:bottom w:w="0" w:type="dxa"/>
              <w:right w:w="70" w:type="dxa"/>
            </w:tcMar>
          </w:tcPr>
          <w:p w:rsidR="005325AC" w:rsidRPr="00066502" w:rsidRDefault="005325AC" w:rsidP="000D30D1">
            <w:pPr>
              <w:rPr>
                <w:rFonts w:cs="DecimaWE Rg"/>
              </w:rPr>
            </w:pPr>
            <w:r w:rsidRPr="00066502">
              <w:rPr>
                <w:rFonts w:cs="DecimaWE Rg"/>
              </w:rPr>
              <w:t xml:space="preserve">Obiettivo aziendale: </w:t>
            </w:r>
          </w:p>
          <w:p w:rsidR="005325AC" w:rsidRPr="00066502" w:rsidRDefault="005325AC" w:rsidP="000D30D1">
            <w:pPr>
              <w:rPr>
                <w:rFonts w:cs="DecimaWE Rg"/>
              </w:rPr>
            </w:pPr>
            <w:r w:rsidRPr="00066502">
              <w:rPr>
                <w:rFonts w:cs="DecimaWE Rg"/>
              </w:rPr>
              <w:t>Contributo ai programmi regionali di appropriatezza e sorveglianza degli eventi avversi alla trasfusione</w:t>
            </w:r>
          </w:p>
        </w:tc>
        <w:tc>
          <w:tcPr>
            <w:tcW w:w="5321" w:type="dxa"/>
            <w:tcBorders>
              <w:top w:val="single" w:sz="8" w:space="0" w:color="000000"/>
              <w:left w:val="single" w:sz="8" w:space="0" w:color="000000"/>
              <w:bottom w:val="single" w:sz="4" w:space="0" w:color="auto"/>
              <w:right w:val="single" w:sz="8" w:space="0" w:color="000000"/>
            </w:tcBorders>
            <w:shd w:val="clear" w:color="auto" w:fill="E6E6E6"/>
            <w:tcMar>
              <w:top w:w="0" w:type="dxa"/>
              <w:left w:w="70" w:type="dxa"/>
              <w:bottom w:w="0" w:type="dxa"/>
              <w:right w:w="70" w:type="dxa"/>
            </w:tcMar>
          </w:tcPr>
          <w:p w:rsidR="005325AC" w:rsidRPr="00066502" w:rsidRDefault="005325AC" w:rsidP="000D30D1">
            <w:pPr>
              <w:rPr>
                <w:rFonts w:cs="DecimaWE Rg"/>
              </w:rPr>
            </w:pPr>
            <w:r w:rsidRPr="00066502">
              <w:rPr>
                <w:rFonts w:cs="DecimaWE Rg"/>
              </w:rPr>
              <w:t xml:space="preserve">Risultato atteso: </w:t>
            </w:r>
          </w:p>
          <w:p w:rsidR="005325AC" w:rsidRPr="00066502" w:rsidRDefault="005325AC" w:rsidP="000D30D1">
            <w:pPr>
              <w:rPr>
                <w:rFonts w:cs="DecimaWE Rg"/>
              </w:rPr>
            </w:pPr>
            <w:r w:rsidRPr="00066502">
              <w:rPr>
                <w:rFonts w:cs="DecimaWE Rg"/>
              </w:rPr>
              <w:t>Contributo all'alimentazione del flusso informativo di cui è titolare AAS5</w:t>
            </w:r>
          </w:p>
          <w:p w:rsidR="005325AC" w:rsidRPr="00066502" w:rsidRDefault="005325AC" w:rsidP="000D30D1">
            <w:pPr>
              <w:rPr>
                <w:rFonts w:cs="DecimaWE Rg"/>
              </w:rPr>
            </w:pPr>
          </w:p>
        </w:tc>
      </w:tr>
      <w:tr w:rsidR="005325AC" w:rsidRPr="0030525A" w:rsidTr="000D30D1">
        <w:trPr>
          <w:jc w:val="center"/>
        </w:trPr>
        <w:tc>
          <w:tcPr>
            <w:tcW w:w="985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325AC" w:rsidRPr="00066502" w:rsidRDefault="005325AC" w:rsidP="000D30D1">
            <w:pPr>
              <w:jc w:val="both"/>
              <w:outlineLvl w:val="0"/>
              <w:rPr>
                <w:rFonts w:eastAsia="MS Mincho" w:cs="Calibri"/>
                <w:b/>
              </w:rPr>
            </w:pPr>
            <w:r>
              <w:rPr>
                <w:rFonts w:eastAsia="MS Mincho" w:cs="Calibri"/>
                <w:b/>
              </w:rPr>
              <w:t>Attuazione al 31.12.2015</w:t>
            </w:r>
          </w:p>
          <w:p w:rsidR="005325AC" w:rsidRPr="00C579A1" w:rsidRDefault="005325AC" w:rsidP="000D30D1">
            <w:pPr>
              <w:jc w:val="both"/>
              <w:outlineLvl w:val="0"/>
              <w:rPr>
                <w:rFonts w:cs="DecimaWE Rg"/>
                <w:bCs/>
              </w:rPr>
            </w:pPr>
            <w:r w:rsidRPr="00066502">
              <w:rPr>
                <w:bCs/>
              </w:rPr>
              <w:t>il CRO ha contribuito all’alimentazione dei flussi informativi di sua pertinenza ed è correttamente integrato nella funzione trasfusionale dipartimentale di cui è titolare AAS5.</w:t>
            </w:r>
          </w:p>
        </w:tc>
      </w:tr>
    </w:tbl>
    <w:p w:rsidR="005325AC" w:rsidRDefault="005325AC" w:rsidP="005325AC"/>
    <w:tbl>
      <w:tblPr>
        <w:tblW w:w="9854" w:type="dxa"/>
        <w:jc w:val="center"/>
        <w:tblInd w:w="-38" w:type="dxa"/>
        <w:tblCellMar>
          <w:left w:w="0" w:type="dxa"/>
          <w:right w:w="0" w:type="dxa"/>
        </w:tblCellMar>
        <w:tblLook w:val="0000"/>
      </w:tblPr>
      <w:tblGrid>
        <w:gridCol w:w="4533"/>
        <w:gridCol w:w="5321"/>
      </w:tblGrid>
      <w:tr w:rsidR="005325AC" w:rsidRPr="0030525A" w:rsidTr="000D30D1">
        <w:trPr>
          <w:trHeight w:val="194"/>
          <w:jc w:val="center"/>
        </w:trPr>
        <w:tc>
          <w:tcPr>
            <w:tcW w:w="98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5325AC" w:rsidRPr="0030525A" w:rsidRDefault="005325AC" w:rsidP="000D30D1">
            <w:pPr>
              <w:jc w:val="both"/>
              <w:rPr>
                <w:rFonts w:eastAsia="MS Mincho"/>
              </w:rPr>
            </w:pPr>
            <w:r w:rsidRPr="0030525A">
              <w:rPr>
                <w:rFonts w:cs="DecimaWE Rg"/>
                <w:b/>
                <w:bCs/>
              </w:rPr>
              <w:t xml:space="preserve">Linea </w:t>
            </w:r>
            <w:r w:rsidRPr="0030525A">
              <w:rPr>
                <w:rFonts w:cs="DecimaWERg"/>
                <w:b/>
              </w:rPr>
              <w:t>progettuale</w:t>
            </w:r>
            <w:r w:rsidRPr="0030525A">
              <w:rPr>
                <w:rFonts w:cs="DecimaWE Rg"/>
                <w:b/>
                <w:bCs/>
              </w:rPr>
              <w:t xml:space="preserve"> n. 3.4.6 Erogazione dei livelli di assistenza</w:t>
            </w:r>
          </w:p>
        </w:tc>
      </w:tr>
      <w:tr w:rsidR="005325AC" w:rsidRPr="0030525A" w:rsidTr="000D30D1">
        <w:trPr>
          <w:trHeight w:val="169"/>
          <w:jc w:val="center"/>
        </w:trPr>
        <w:tc>
          <w:tcPr>
            <w:tcW w:w="4533" w:type="dxa"/>
            <w:tcBorders>
              <w:top w:val="single" w:sz="8" w:space="0" w:color="000000"/>
              <w:left w:val="single" w:sz="8" w:space="0" w:color="000000"/>
              <w:bottom w:val="single" w:sz="4" w:space="0" w:color="auto"/>
              <w:right w:val="single" w:sz="8" w:space="0" w:color="000000"/>
            </w:tcBorders>
            <w:shd w:val="clear" w:color="auto" w:fill="E6E6E6"/>
            <w:tcMar>
              <w:top w:w="0" w:type="dxa"/>
              <w:left w:w="70" w:type="dxa"/>
              <w:bottom w:w="0" w:type="dxa"/>
              <w:right w:w="70" w:type="dxa"/>
            </w:tcMar>
          </w:tcPr>
          <w:p w:rsidR="005325AC" w:rsidRPr="009C1F6D" w:rsidRDefault="005325AC" w:rsidP="000D30D1">
            <w:pPr>
              <w:jc w:val="both"/>
              <w:rPr>
                <w:rFonts w:eastAsia="MS Mincho"/>
                <w:b/>
              </w:rPr>
            </w:pPr>
            <w:r w:rsidRPr="009C1F6D">
              <w:rPr>
                <w:rFonts w:eastAsia="MS Mincho"/>
                <w:b/>
              </w:rPr>
              <w:t>Obiettivo aziendale</w:t>
            </w:r>
          </w:p>
          <w:p w:rsidR="005325AC" w:rsidRPr="0030525A" w:rsidRDefault="005325AC" w:rsidP="000D30D1">
            <w:pPr>
              <w:jc w:val="both"/>
              <w:rPr>
                <w:rFonts w:eastAsia="MS Mincho"/>
              </w:rPr>
            </w:pPr>
            <w:r w:rsidRPr="0030525A">
              <w:rPr>
                <w:rFonts w:eastAsia="MS Mincho"/>
              </w:rPr>
              <w:t>Riduzione del numero di ricoveri ordinari medici brevi (obiettivo valido sia per l’età adulta che pediatrica)</w:t>
            </w:r>
          </w:p>
        </w:tc>
        <w:tc>
          <w:tcPr>
            <w:tcW w:w="5321" w:type="dxa"/>
            <w:tcBorders>
              <w:top w:val="single" w:sz="8" w:space="0" w:color="000000"/>
              <w:left w:val="single" w:sz="8" w:space="0" w:color="000000"/>
              <w:bottom w:val="single" w:sz="4" w:space="0" w:color="auto"/>
              <w:right w:val="single" w:sz="8" w:space="0" w:color="000000"/>
            </w:tcBorders>
            <w:shd w:val="clear" w:color="auto" w:fill="E6E6E6"/>
            <w:tcMar>
              <w:top w:w="0" w:type="dxa"/>
              <w:left w:w="70" w:type="dxa"/>
              <w:bottom w:w="0" w:type="dxa"/>
              <w:right w:w="70" w:type="dxa"/>
            </w:tcMar>
          </w:tcPr>
          <w:p w:rsidR="005325AC" w:rsidRPr="009C1F6D" w:rsidRDefault="005325AC" w:rsidP="000D30D1">
            <w:pPr>
              <w:jc w:val="both"/>
              <w:rPr>
                <w:rFonts w:eastAsia="MS Mincho"/>
                <w:b/>
              </w:rPr>
            </w:pPr>
            <w:r w:rsidRPr="009C1F6D">
              <w:rPr>
                <w:rFonts w:eastAsia="MS Mincho"/>
                <w:b/>
              </w:rPr>
              <w:t>Risultato atteso</w:t>
            </w:r>
          </w:p>
          <w:p w:rsidR="005325AC" w:rsidRPr="0030525A" w:rsidRDefault="005325AC" w:rsidP="000D30D1">
            <w:pPr>
              <w:pStyle w:val="Paragrafoelenco"/>
              <w:jc w:val="both"/>
            </w:pPr>
            <w:r w:rsidRPr="0030525A">
              <w:t>&lt; 15%</w:t>
            </w:r>
          </w:p>
        </w:tc>
      </w:tr>
      <w:tr w:rsidR="005325AC" w:rsidRPr="000C3D13" w:rsidTr="000D30D1">
        <w:trPr>
          <w:trHeight w:val="194"/>
          <w:jc w:val="center"/>
        </w:trPr>
        <w:tc>
          <w:tcPr>
            <w:tcW w:w="985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70" w:type="dxa"/>
              <w:bottom w:w="0" w:type="dxa"/>
              <w:right w:w="70" w:type="dxa"/>
            </w:tcMar>
          </w:tcPr>
          <w:p w:rsidR="005325AC" w:rsidRDefault="005325AC" w:rsidP="000D30D1">
            <w:pPr>
              <w:jc w:val="both"/>
              <w:outlineLvl w:val="0"/>
              <w:rPr>
                <w:rFonts w:eastAsia="MS Mincho" w:cs="Calibri"/>
                <w:b/>
              </w:rPr>
            </w:pPr>
            <w:r>
              <w:rPr>
                <w:rFonts w:eastAsia="MS Mincho" w:cs="Calibri"/>
                <w:b/>
              </w:rPr>
              <w:t>Attuazione al 31.12.2015</w:t>
            </w:r>
          </w:p>
          <w:p w:rsidR="005325AC" w:rsidRPr="000C15BE" w:rsidRDefault="005325AC" w:rsidP="000D30D1">
            <w:pPr>
              <w:jc w:val="both"/>
              <w:rPr>
                <w:rFonts w:eastAsia="MS Mincho"/>
              </w:rPr>
            </w:pPr>
            <w:r>
              <w:rPr>
                <w:rFonts w:eastAsia="MS Mincho"/>
              </w:rPr>
              <w:t>40,88</w:t>
            </w:r>
            <w:r w:rsidRPr="000C15BE">
              <w:rPr>
                <w:rFonts w:eastAsia="MS Mincho"/>
              </w:rPr>
              <w:t>%</w:t>
            </w:r>
            <w:r>
              <w:rPr>
                <w:rFonts w:eastAsia="MS Mincho"/>
              </w:rPr>
              <w:t xml:space="preserve"> (fonte piano controlli)</w:t>
            </w:r>
          </w:p>
        </w:tc>
      </w:tr>
      <w:tr w:rsidR="005325AC" w:rsidRPr="0030525A" w:rsidTr="000D30D1">
        <w:trPr>
          <w:trHeight w:val="169"/>
          <w:jc w:val="center"/>
        </w:trPr>
        <w:tc>
          <w:tcPr>
            <w:tcW w:w="4533" w:type="dxa"/>
            <w:tcBorders>
              <w:top w:val="single" w:sz="4" w:space="0" w:color="auto"/>
              <w:left w:val="single" w:sz="8" w:space="0" w:color="000000"/>
              <w:bottom w:val="single" w:sz="4" w:space="0" w:color="auto"/>
              <w:right w:val="single" w:sz="8" w:space="0" w:color="000000"/>
            </w:tcBorders>
            <w:shd w:val="clear" w:color="auto" w:fill="E6E6E6"/>
            <w:tcMar>
              <w:top w:w="0" w:type="dxa"/>
              <w:left w:w="70" w:type="dxa"/>
              <w:bottom w:w="0" w:type="dxa"/>
              <w:right w:w="70" w:type="dxa"/>
            </w:tcMar>
          </w:tcPr>
          <w:p w:rsidR="005325AC" w:rsidRPr="009C1F6D" w:rsidRDefault="005325AC" w:rsidP="000D30D1">
            <w:pPr>
              <w:jc w:val="both"/>
              <w:rPr>
                <w:rFonts w:eastAsia="MS Mincho"/>
                <w:b/>
              </w:rPr>
            </w:pPr>
            <w:r w:rsidRPr="009C1F6D">
              <w:rPr>
                <w:rFonts w:eastAsia="MS Mincho"/>
                <w:b/>
              </w:rPr>
              <w:t>Obiettivo aziendale</w:t>
            </w:r>
          </w:p>
          <w:p w:rsidR="005325AC" w:rsidRPr="0030525A" w:rsidRDefault="005325AC" w:rsidP="000D30D1">
            <w:pPr>
              <w:jc w:val="both"/>
              <w:rPr>
                <w:rFonts w:eastAsia="MS Mincho"/>
              </w:rPr>
            </w:pPr>
            <w:r w:rsidRPr="0030525A">
              <w:rPr>
                <w:rFonts w:eastAsia="MS Mincho"/>
              </w:rPr>
              <w:t xml:space="preserve">Riduzione del numero di ricoveri in </w:t>
            </w:r>
            <w:proofErr w:type="spellStart"/>
            <w:r w:rsidRPr="0030525A">
              <w:rPr>
                <w:rFonts w:eastAsia="MS Mincho"/>
              </w:rPr>
              <w:t>day</w:t>
            </w:r>
            <w:proofErr w:type="spellEnd"/>
            <w:r w:rsidRPr="0030525A">
              <w:rPr>
                <w:rFonts w:eastAsia="MS Mincho"/>
              </w:rPr>
              <w:t xml:space="preserve"> hospital medico con finalità diagnostica (obiettivo valido sia per l’età adulta che pediatrica)</w:t>
            </w:r>
          </w:p>
        </w:tc>
        <w:tc>
          <w:tcPr>
            <w:tcW w:w="5321" w:type="dxa"/>
            <w:tcBorders>
              <w:top w:val="single" w:sz="4" w:space="0" w:color="auto"/>
              <w:left w:val="single" w:sz="8" w:space="0" w:color="000000"/>
              <w:bottom w:val="single" w:sz="4" w:space="0" w:color="auto"/>
              <w:right w:val="single" w:sz="8" w:space="0" w:color="000000"/>
            </w:tcBorders>
            <w:shd w:val="clear" w:color="auto" w:fill="E6E6E6"/>
            <w:tcMar>
              <w:top w:w="0" w:type="dxa"/>
              <w:left w:w="70" w:type="dxa"/>
              <w:bottom w:w="0" w:type="dxa"/>
              <w:right w:w="70" w:type="dxa"/>
            </w:tcMar>
          </w:tcPr>
          <w:p w:rsidR="005325AC" w:rsidRPr="009C1F6D" w:rsidRDefault="005325AC" w:rsidP="000D30D1">
            <w:pPr>
              <w:jc w:val="both"/>
              <w:rPr>
                <w:rFonts w:eastAsia="MS Mincho"/>
                <w:b/>
              </w:rPr>
            </w:pPr>
            <w:r w:rsidRPr="009C1F6D">
              <w:rPr>
                <w:rFonts w:eastAsia="MS Mincho"/>
                <w:b/>
              </w:rPr>
              <w:t>Risultato atteso</w:t>
            </w:r>
          </w:p>
          <w:p w:rsidR="005325AC" w:rsidRPr="00227DC3" w:rsidRDefault="005325AC" w:rsidP="000D30D1">
            <w:pPr>
              <w:pStyle w:val="Paragrafoelenco"/>
              <w:jc w:val="both"/>
            </w:pPr>
            <w:r w:rsidRPr="00227DC3">
              <w:t>r</w:t>
            </w:r>
            <w:r w:rsidRPr="00227DC3">
              <w:rPr>
                <w:rFonts w:ascii="DecimaWE Rg" w:hAnsi="DecimaWE Rg"/>
              </w:rPr>
              <w:t>iduzione del 10% rispetto al valore 1.7.2014-31.12.2014 del tasso di ricovero diurno di tipo diagnostico. Il tasso non deve comunque essere superiore al 50%.</w:t>
            </w:r>
          </w:p>
        </w:tc>
      </w:tr>
      <w:tr w:rsidR="005325AC" w:rsidRPr="000C3D13" w:rsidTr="000D30D1">
        <w:trPr>
          <w:trHeight w:val="194"/>
          <w:jc w:val="center"/>
        </w:trPr>
        <w:tc>
          <w:tcPr>
            <w:tcW w:w="985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70" w:type="dxa"/>
              <w:bottom w:w="0" w:type="dxa"/>
              <w:right w:w="70" w:type="dxa"/>
            </w:tcMar>
          </w:tcPr>
          <w:p w:rsidR="005325AC" w:rsidRDefault="005325AC" w:rsidP="000D30D1">
            <w:pPr>
              <w:jc w:val="both"/>
              <w:outlineLvl w:val="0"/>
              <w:rPr>
                <w:rFonts w:eastAsia="MS Mincho" w:cs="Calibri"/>
                <w:b/>
              </w:rPr>
            </w:pPr>
            <w:r>
              <w:rPr>
                <w:rFonts w:eastAsia="MS Mincho" w:cs="Calibri"/>
                <w:b/>
              </w:rPr>
              <w:t>Attuazione al 31.12.2015</w:t>
            </w:r>
          </w:p>
          <w:p w:rsidR="005325AC" w:rsidRPr="00E93A76" w:rsidRDefault="005325AC" w:rsidP="000D30D1">
            <w:pPr>
              <w:jc w:val="both"/>
              <w:rPr>
                <w:rFonts w:eastAsia="MS Mincho"/>
              </w:rPr>
            </w:pPr>
            <w:proofErr w:type="spellStart"/>
            <w:r w:rsidRPr="00E93A76">
              <w:rPr>
                <w:rFonts w:eastAsia="MS Mincho"/>
              </w:rPr>
              <w:t>Luglio-dicembre</w:t>
            </w:r>
            <w:proofErr w:type="spellEnd"/>
            <w:r w:rsidRPr="00E93A76">
              <w:rPr>
                <w:rFonts w:eastAsia="MS Mincho"/>
              </w:rPr>
              <w:t xml:space="preserve"> 2014: 0,86% </w:t>
            </w:r>
          </w:p>
          <w:p w:rsidR="005325AC" w:rsidRPr="00E93A76" w:rsidRDefault="005325AC" w:rsidP="000D30D1">
            <w:pPr>
              <w:jc w:val="both"/>
              <w:rPr>
                <w:rFonts w:eastAsia="MS Mincho"/>
              </w:rPr>
            </w:pPr>
            <w:proofErr w:type="spellStart"/>
            <w:r w:rsidRPr="00E93A76">
              <w:rPr>
                <w:rFonts w:eastAsia="MS Mincho"/>
              </w:rPr>
              <w:t>Gennaio-dicembre</w:t>
            </w:r>
            <w:proofErr w:type="spellEnd"/>
            <w:r w:rsidRPr="00E93A76">
              <w:rPr>
                <w:rFonts w:eastAsia="MS Mincho"/>
              </w:rPr>
              <w:t xml:space="preserve"> 2015: 0,35%</w:t>
            </w:r>
          </w:p>
          <w:p w:rsidR="005325AC" w:rsidRDefault="005325AC" w:rsidP="000D30D1">
            <w:pPr>
              <w:jc w:val="both"/>
              <w:rPr>
                <w:rFonts w:eastAsia="MS Mincho"/>
              </w:rPr>
            </w:pPr>
            <w:r w:rsidRPr="00E93A76">
              <w:rPr>
                <w:rFonts w:eastAsia="MS Mincho"/>
              </w:rPr>
              <w:t>Riduzione percentuale: - 59,15%</w:t>
            </w:r>
          </w:p>
          <w:p w:rsidR="005325AC" w:rsidRPr="00E93A76" w:rsidRDefault="005325AC" w:rsidP="000D30D1">
            <w:pPr>
              <w:jc w:val="both"/>
              <w:rPr>
                <w:rFonts w:ascii="Arial" w:hAnsi="Arial" w:cs="Arial"/>
                <w:b/>
                <w:bCs/>
                <w:color w:val="000000"/>
                <w:sz w:val="18"/>
                <w:szCs w:val="18"/>
              </w:rPr>
            </w:pPr>
            <w:r>
              <w:rPr>
                <w:rFonts w:eastAsia="MS Mincho"/>
              </w:rPr>
              <w:lastRenderedPageBreak/>
              <w:t>(fonte piano controlli)</w:t>
            </w:r>
          </w:p>
        </w:tc>
      </w:tr>
      <w:tr w:rsidR="005325AC" w:rsidRPr="0030525A" w:rsidTr="000D30D1">
        <w:trPr>
          <w:trHeight w:val="169"/>
          <w:jc w:val="center"/>
        </w:trPr>
        <w:tc>
          <w:tcPr>
            <w:tcW w:w="4533" w:type="dxa"/>
            <w:tcBorders>
              <w:top w:val="single" w:sz="4" w:space="0" w:color="auto"/>
              <w:left w:val="single" w:sz="8" w:space="0" w:color="000000"/>
              <w:bottom w:val="single" w:sz="4" w:space="0" w:color="auto"/>
              <w:right w:val="single" w:sz="8" w:space="0" w:color="000000"/>
            </w:tcBorders>
            <w:shd w:val="clear" w:color="auto" w:fill="E6E6E6"/>
            <w:tcMar>
              <w:top w:w="0" w:type="dxa"/>
              <w:left w:w="70" w:type="dxa"/>
              <w:bottom w:w="0" w:type="dxa"/>
              <w:right w:w="70" w:type="dxa"/>
            </w:tcMar>
          </w:tcPr>
          <w:p w:rsidR="005325AC" w:rsidRPr="009C1F6D" w:rsidRDefault="005325AC" w:rsidP="000D30D1">
            <w:pPr>
              <w:jc w:val="both"/>
              <w:rPr>
                <w:rFonts w:eastAsia="MS Mincho"/>
                <w:b/>
              </w:rPr>
            </w:pPr>
            <w:r w:rsidRPr="009C1F6D">
              <w:rPr>
                <w:rFonts w:eastAsia="MS Mincho"/>
                <w:b/>
              </w:rPr>
              <w:lastRenderedPageBreak/>
              <w:t>Obiettivo aziendale</w:t>
            </w:r>
          </w:p>
          <w:p w:rsidR="005325AC" w:rsidRPr="0030525A" w:rsidRDefault="005325AC" w:rsidP="000D30D1">
            <w:pPr>
              <w:jc w:val="both"/>
              <w:rPr>
                <w:rFonts w:eastAsia="MS Mincho"/>
              </w:rPr>
            </w:pPr>
            <w:r w:rsidRPr="0030525A">
              <w:rPr>
                <w:rFonts w:eastAsia="MS Mincho"/>
              </w:rPr>
              <w:t xml:space="preserve">Riduzione del percentuale di ricoveri medici oltre soglia per pazienti ≥ 65 anni  </w:t>
            </w:r>
          </w:p>
        </w:tc>
        <w:tc>
          <w:tcPr>
            <w:tcW w:w="5321" w:type="dxa"/>
            <w:tcBorders>
              <w:top w:val="single" w:sz="4" w:space="0" w:color="auto"/>
              <w:left w:val="single" w:sz="8" w:space="0" w:color="000000"/>
              <w:bottom w:val="single" w:sz="4" w:space="0" w:color="auto"/>
              <w:right w:val="single" w:sz="8" w:space="0" w:color="000000"/>
            </w:tcBorders>
            <w:shd w:val="clear" w:color="auto" w:fill="E6E6E6"/>
            <w:tcMar>
              <w:top w:w="0" w:type="dxa"/>
              <w:left w:w="70" w:type="dxa"/>
              <w:bottom w:w="0" w:type="dxa"/>
              <w:right w:w="70" w:type="dxa"/>
            </w:tcMar>
          </w:tcPr>
          <w:p w:rsidR="005325AC" w:rsidRPr="009C1F6D" w:rsidRDefault="005325AC" w:rsidP="000D30D1">
            <w:pPr>
              <w:jc w:val="both"/>
              <w:rPr>
                <w:rFonts w:eastAsia="MS Mincho"/>
                <w:b/>
              </w:rPr>
            </w:pPr>
            <w:r w:rsidRPr="009C1F6D">
              <w:rPr>
                <w:rFonts w:eastAsia="MS Mincho"/>
                <w:b/>
              </w:rPr>
              <w:t>Risultato atteso</w:t>
            </w:r>
          </w:p>
          <w:p w:rsidR="005325AC" w:rsidRPr="0030525A" w:rsidRDefault="005325AC" w:rsidP="000D30D1">
            <w:pPr>
              <w:pStyle w:val="Paragrafoelenco"/>
              <w:jc w:val="both"/>
            </w:pPr>
            <w:r w:rsidRPr="0030525A">
              <w:t>&lt; 4%</w:t>
            </w:r>
          </w:p>
        </w:tc>
      </w:tr>
      <w:tr w:rsidR="005325AC" w:rsidRPr="0030525A" w:rsidTr="000D3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jc w:val="center"/>
        </w:trPr>
        <w:tc>
          <w:tcPr>
            <w:tcW w:w="985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325AC" w:rsidRDefault="005325AC" w:rsidP="000D30D1">
            <w:pPr>
              <w:jc w:val="both"/>
              <w:outlineLvl w:val="0"/>
              <w:rPr>
                <w:rFonts w:eastAsia="MS Mincho" w:cs="Calibri"/>
                <w:b/>
              </w:rPr>
            </w:pPr>
            <w:r>
              <w:rPr>
                <w:rFonts w:eastAsia="MS Mincho" w:cs="Calibri"/>
                <w:b/>
              </w:rPr>
              <w:t>Attuazione al 31.12.2015</w:t>
            </w:r>
          </w:p>
          <w:p w:rsidR="005325AC" w:rsidRPr="00A84ECB" w:rsidRDefault="005325AC" w:rsidP="000D30D1">
            <w:pPr>
              <w:jc w:val="both"/>
              <w:rPr>
                <w:color w:val="000000"/>
              </w:rPr>
            </w:pPr>
            <w:r>
              <w:rPr>
                <w:color w:val="000000"/>
              </w:rPr>
              <w:t>3,02% (fonte bersaglio)</w:t>
            </w:r>
          </w:p>
        </w:tc>
      </w:tr>
      <w:tr w:rsidR="005325AC" w:rsidRPr="0030525A" w:rsidTr="000D30D1">
        <w:trPr>
          <w:trHeight w:val="169"/>
          <w:jc w:val="center"/>
        </w:trPr>
        <w:tc>
          <w:tcPr>
            <w:tcW w:w="4533" w:type="dxa"/>
            <w:tcBorders>
              <w:top w:val="single" w:sz="8" w:space="0" w:color="000000"/>
              <w:left w:val="single" w:sz="8" w:space="0" w:color="000000"/>
              <w:bottom w:val="single" w:sz="4" w:space="0" w:color="auto"/>
              <w:right w:val="single" w:sz="8" w:space="0" w:color="000000"/>
            </w:tcBorders>
            <w:shd w:val="clear" w:color="auto" w:fill="E6E6E6"/>
            <w:tcMar>
              <w:top w:w="0" w:type="dxa"/>
              <w:left w:w="70" w:type="dxa"/>
              <w:bottom w:w="0" w:type="dxa"/>
              <w:right w:w="70" w:type="dxa"/>
            </w:tcMar>
          </w:tcPr>
          <w:p w:rsidR="005325AC" w:rsidRPr="009C1F6D" w:rsidRDefault="005325AC" w:rsidP="000D30D1">
            <w:pPr>
              <w:jc w:val="both"/>
              <w:rPr>
                <w:rFonts w:eastAsia="MS Mincho"/>
                <w:b/>
              </w:rPr>
            </w:pPr>
            <w:r w:rsidRPr="009C1F6D">
              <w:rPr>
                <w:rFonts w:eastAsia="MS Mincho"/>
                <w:b/>
              </w:rPr>
              <w:t>Obiettivo aziendale</w:t>
            </w:r>
          </w:p>
          <w:p w:rsidR="005325AC" w:rsidRPr="0030525A" w:rsidRDefault="005325AC" w:rsidP="000D30D1">
            <w:pPr>
              <w:jc w:val="both"/>
              <w:rPr>
                <w:rFonts w:eastAsia="MS Mincho"/>
              </w:rPr>
            </w:pPr>
            <w:r w:rsidRPr="0030525A">
              <w:rPr>
                <w:rFonts w:eastAsia="MS Mincho"/>
              </w:rPr>
              <w:t xml:space="preserve">Riduzione della degenza media pre-operatoria per interventi chirurgici programmati </w:t>
            </w:r>
          </w:p>
        </w:tc>
        <w:tc>
          <w:tcPr>
            <w:tcW w:w="5321" w:type="dxa"/>
            <w:tcBorders>
              <w:top w:val="single" w:sz="8" w:space="0" w:color="000000"/>
              <w:left w:val="single" w:sz="8" w:space="0" w:color="000000"/>
              <w:bottom w:val="single" w:sz="4" w:space="0" w:color="auto"/>
              <w:right w:val="single" w:sz="8" w:space="0" w:color="000000"/>
            </w:tcBorders>
            <w:shd w:val="clear" w:color="auto" w:fill="E6E6E6"/>
            <w:tcMar>
              <w:top w:w="0" w:type="dxa"/>
              <w:left w:w="70" w:type="dxa"/>
              <w:bottom w:w="0" w:type="dxa"/>
              <w:right w:w="70" w:type="dxa"/>
            </w:tcMar>
          </w:tcPr>
          <w:p w:rsidR="005325AC" w:rsidRPr="009C1F6D" w:rsidRDefault="005325AC" w:rsidP="000D30D1">
            <w:pPr>
              <w:jc w:val="both"/>
              <w:rPr>
                <w:rFonts w:eastAsia="MS Mincho"/>
                <w:b/>
              </w:rPr>
            </w:pPr>
            <w:r w:rsidRPr="009C1F6D">
              <w:rPr>
                <w:rFonts w:eastAsia="MS Mincho"/>
                <w:b/>
              </w:rPr>
              <w:t>Risultato atteso</w:t>
            </w:r>
          </w:p>
          <w:p w:rsidR="005325AC" w:rsidRPr="0030525A" w:rsidRDefault="005325AC" w:rsidP="000D30D1">
            <w:pPr>
              <w:pStyle w:val="Paragrafoelenco"/>
              <w:jc w:val="both"/>
            </w:pPr>
            <w:r w:rsidRPr="0030525A">
              <w:t>&lt; 0,9</w:t>
            </w:r>
          </w:p>
        </w:tc>
      </w:tr>
      <w:tr w:rsidR="005325AC" w:rsidRPr="0030525A" w:rsidTr="000D3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jc w:val="center"/>
        </w:trPr>
        <w:tc>
          <w:tcPr>
            <w:tcW w:w="985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325AC" w:rsidRDefault="005325AC" w:rsidP="000D30D1">
            <w:pPr>
              <w:jc w:val="both"/>
              <w:outlineLvl w:val="0"/>
              <w:rPr>
                <w:rFonts w:eastAsia="MS Mincho" w:cs="Calibri"/>
                <w:b/>
              </w:rPr>
            </w:pPr>
            <w:r>
              <w:rPr>
                <w:rFonts w:eastAsia="MS Mincho" w:cs="Calibri"/>
                <w:b/>
              </w:rPr>
              <w:t>Attuazione al 31.12.2015</w:t>
            </w:r>
          </w:p>
          <w:p w:rsidR="005325AC" w:rsidRPr="00E629CB" w:rsidRDefault="005325AC" w:rsidP="000D30D1">
            <w:pPr>
              <w:jc w:val="both"/>
              <w:rPr>
                <w:rFonts w:ascii="Arial" w:hAnsi="Arial" w:cs="Arial"/>
                <w:b/>
                <w:bCs/>
                <w:color w:val="000000"/>
                <w:sz w:val="24"/>
                <w:szCs w:val="24"/>
              </w:rPr>
            </w:pPr>
            <w:r w:rsidRPr="00E629CB">
              <w:rPr>
                <w:rFonts w:eastAsia="MS Mincho"/>
              </w:rPr>
              <w:t>1</w:t>
            </w:r>
            <w:r>
              <w:rPr>
                <w:rFonts w:eastAsia="MS Mincho"/>
              </w:rPr>
              <w:t xml:space="preserve"> degenza media pre-operatoria (fonte bersaglio)</w:t>
            </w:r>
          </w:p>
        </w:tc>
      </w:tr>
      <w:tr w:rsidR="005325AC" w:rsidRPr="0030525A" w:rsidTr="000D30D1">
        <w:trPr>
          <w:trHeight w:val="169"/>
          <w:jc w:val="center"/>
        </w:trPr>
        <w:tc>
          <w:tcPr>
            <w:tcW w:w="4533" w:type="dxa"/>
            <w:tcBorders>
              <w:top w:val="single" w:sz="8" w:space="0" w:color="000000"/>
              <w:left w:val="single" w:sz="8" w:space="0" w:color="000000"/>
              <w:bottom w:val="single" w:sz="4" w:space="0" w:color="auto"/>
              <w:right w:val="single" w:sz="8" w:space="0" w:color="000000"/>
            </w:tcBorders>
            <w:shd w:val="clear" w:color="auto" w:fill="E6E6E6"/>
            <w:tcMar>
              <w:top w:w="0" w:type="dxa"/>
              <w:left w:w="70" w:type="dxa"/>
              <w:bottom w:w="0" w:type="dxa"/>
              <w:right w:w="70" w:type="dxa"/>
            </w:tcMar>
          </w:tcPr>
          <w:p w:rsidR="005325AC" w:rsidRPr="009C1F6D" w:rsidRDefault="005325AC" w:rsidP="000D30D1">
            <w:pPr>
              <w:jc w:val="both"/>
              <w:rPr>
                <w:rFonts w:eastAsia="MS Mincho"/>
                <w:b/>
              </w:rPr>
            </w:pPr>
            <w:r w:rsidRPr="009C1F6D">
              <w:rPr>
                <w:rFonts w:eastAsia="MS Mincho"/>
                <w:b/>
              </w:rPr>
              <w:t>Obiettivo aziendale</w:t>
            </w:r>
          </w:p>
          <w:p w:rsidR="005325AC" w:rsidRPr="0030525A" w:rsidRDefault="005325AC" w:rsidP="000D30D1">
            <w:pPr>
              <w:jc w:val="both"/>
              <w:rPr>
                <w:rFonts w:eastAsia="MS Mincho"/>
              </w:rPr>
            </w:pPr>
            <w:r w:rsidRPr="0030525A">
              <w:rPr>
                <w:rFonts w:eastAsia="MS Mincho"/>
              </w:rPr>
              <w:t>Riduzione della percentuale di ricoveri ripetuti</w:t>
            </w:r>
          </w:p>
        </w:tc>
        <w:tc>
          <w:tcPr>
            <w:tcW w:w="5321" w:type="dxa"/>
            <w:tcBorders>
              <w:top w:val="single" w:sz="8" w:space="0" w:color="000000"/>
              <w:left w:val="single" w:sz="8" w:space="0" w:color="000000"/>
              <w:bottom w:val="single" w:sz="4" w:space="0" w:color="auto"/>
              <w:right w:val="single" w:sz="8" w:space="0" w:color="000000"/>
            </w:tcBorders>
            <w:shd w:val="clear" w:color="auto" w:fill="E6E6E6"/>
            <w:tcMar>
              <w:top w:w="0" w:type="dxa"/>
              <w:left w:w="70" w:type="dxa"/>
              <w:bottom w:w="0" w:type="dxa"/>
              <w:right w:w="70" w:type="dxa"/>
            </w:tcMar>
          </w:tcPr>
          <w:p w:rsidR="005325AC" w:rsidRPr="009C1F6D" w:rsidRDefault="005325AC" w:rsidP="000D30D1">
            <w:pPr>
              <w:jc w:val="both"/>
              <w:rPr>
                <w:rFonts w:eastAsia="MS Mincho"/>
                <w:b/>
              </w:rPr>
            </w:pPr>
            <w:r w:rsidRPr="009C1F6D">
              <w:rPr>
                <w:rFonts w:eastAsia="MS Mincho"/>
                <w:b/>
              </w:rPr>
              <w:t>Risultato atteso</w:t>
            </w:r>
          </w:p>
          <w:p w:rsidR="005325AC" w:rsidRPr="0030525A" w:rsidRDefault="005325AC" w:rsidP="000D30D1">
            <w:pPr>
              <w:pStyle w:val="Paragrafoelenco"/>
              <w:jc w:val="both"/>
            </w:pPr>
            <w:r w:rsidRPr="0030525A">
              <w:t>&lt; 5%</w:t>
            </w:r>
          </w:p>
        </w:tc>
      </w:tr>
      <w:tr w:rsidR="005325AC" w:rsidRPr="0030525A" w:rsidTr="000D3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jc w:val="center"/>
        </w:trPr>
        <w:tc>
          <w:tcPr>
            <w:tcW w:w="985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325AC" w:rsidRDefault="005325AC" w:rsidP="000D30D1">
            <w:pPr>
              <w:jc w:val="both"/>
              <w:outlineLvl w:val="0"/>
              <w:rPr>
                <w:rFonts w:eastAsia="MS Mincho" w:cs="Calibri"/>
                <w:b/>
              </w:rPr>
            </w:pPr>
            <w:r>
              <w:rPr>
                <w:rFonts w:eastAsia="MS Mincho" w:cs="Calibri"/>
                <w:b/>
              </w:rPr>
              <w:t>Attuazione al 31.12.2015</w:t>
            </w:r>
          </w:p>
          <w:p w:rsidR="005325AC" w:rsidRPr="00A61783" w:rsidRDefault="005325AC" w:rsidP="000D30D1">
            <w:pPr>
              <w:jc w:val="both"/>
              <w:rPr>
                <w:rFonts w:ascii="DecimaWE Rg" w:hAnsi="DecimaWE Rg" w:cs="Arial"/>
                <w:color w:val="000000"/>
              </w:rPr>
            </w:pPr>
            <w:r w:rsidRPr="00A61783">
              <w:rPr>
                <w:rFonts w:eastAsia="MS Mincho"/>
              </w:rPr>
              <w:t>7,02% (fonte bersaglio)</w:t>
            </w:r>
          </w:p>
        </w:tc>
      </w:tr>
      <w:tr w:rsidR="005325AC" w:rsidRPr="00BB6C21" w:rsidTr="000D30D1">
        <w:tblPrEx>
          <w:tblLook w:val="04A0"/>
        </w:tblPrEx>
        <w:trPr>
          <w:jc w:val="center"/>
        </w:trPr>
        <w:tc>
          <w:tcPr>
            <w:tcW w:w="9854" w:type="dxa"/>
            <w:gridSpan w:val="2"/>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325AC" w:rsidRPr="00BB6C21" w:rsidRDefault="005325AC" w:rsidP="000D30D1">
            <w:pPr>
              <w:jc w:val="both"/>
              <w:rPr>
                <w:b/>
                <w:bCs/>
              </w:rPr>
            </w:pPr>
            <w:r w:rsidRPr="00BB6C21">
              <w:rPr>
                <w:b/>
                <w:bCs/>
              </w:rPr>
              <w:t xml:space="preserve">Linea progettuale n 3.4.7 Tempi d’attesa </w:t>
            </w:r>
          </w:p>
        </w:tc>
      </w:tr>
      <w:tr w:rsidR="005325AC" w:rsidRPr="00BB6C21" w:rsidTr="000D30D1">
        <w:tblPrEx>
          <w:tblLook w:val="04A0"/>
        </w:tblPrEx>
        <w:trPr>
          <w:trHeight w:val="720"/>
          <w:jc w:val="center"/>
        </w:trPr>
        <w:tc>
          <w:tcPr>
            <w:tcW w:w="4533" w:type="dxa"/>
            <w:tcBorders>
              <w:top w:val="nil"/>
              <w:left w:val="single" w:sz="8" w:space="0" w:color="auto"/>
              <w:bottom w:val="single" w:sz="4" w:space="0" w:color="auto"/>
              <w:right w:val="single" w:sz="8" w:space="0" w:color="000000"/>
            </w:tcBorders>
            <w:shd w:val="clear" w:color="auto" w:fill="E6E6E6"/>
            <w:tcMar>
              <w:top w:w="0" w:type="dxa"/>
              <w:left w:w="70" w:type="dxa"/>
              <w:bottom w:w="0" w:type="dxa"/>
              <w:right w:w="70" w:type="dxa"/>
            </w:tcMar>
          </w:tcPr>
          <w:p w:rsidR="005325AC" w:rsidRPr="00BB6C21" w:rsidRDefault="005325AC" w:rsidP="000D30D1">
            <w:pPr>
              <w:jc w:val="both"/>
              <w:rPr>
                <w:rFonts w:eastAsia="Times New Roman"/>
                <w:lang w:eastAsia="it-IT"/>
              </w:rPr>
            </w:pPr>
            <w:r w:rsidRPr="00BB6C21">
              <w:rPr>
                <w:rFonts w:eastAsia="Times New Roman"/>
                <w:b/>
                <w:lang w:eastAsia="it-IT"/>
              </w:rPr>
              <w:t>Obiettivo di area vasta</w:t>
            </w:r>
          </w:p>
          <w:p w:rsidR="005325AC" w:rsidRPr="00BB6C21" w:rsidRDefault="005325AC" w:rsidP="000D30D1">
            <w:pPr>
              <w:autoSpaceDE w:val="0"/>
              <w:autoSpaceDN w:val="0"/>
              <w:adjustRightInd w:val="0"/>
              <w:rPr>
                <w:b/>
                <w:bCs/>
              </w:rPr>
            </w:pPr>
            <w:r w:rsidRPr="00BB6C21">
              <w:rPr>
                <w:rFonts w:cs="DecimaWE-Regular"/>
              </w:rPr>
              <w:t>Predisposizione del Piano di contenimento dei tempi d’attesa, in una logica di integrazione con le strutture private presenti nel territorio aziendale e con il CRO.</w:t>
            </w:r>
          </w:p>
        </w:tc>
        <w:tc>
          <w:tcPr>
            <w:tcW w:w="5321" w:type="dxa"/>
            <w:tcBorders>
              <w:top w:val="nil"/>
              <w:left w:val="nil"/>
              <w:bottom w:val="single" w:sz="4" w:space="0" w:color="auto"/>
              <w:right w:val="single" w:sz="8" w:space="0" w:color="auto"/>
            </w:tcBorders>
            <w:shd w:val="clear" w:color="auto" w:fill="E6E6E6"/>
            <w:tcMar>
              <w:top w:w="0" w:type="dxa"/>
              <w:left w:w="70" w:type="dxa"/>
              <w:bottom w:w="0" w:type="dxa"/>
              <w:right w:w="70" w:type="dxa"/>
            </w:tcMar>
            <w:hideMark/>
          </w:tcPr>
          <w:p w:rsidR="005325AC" w:rsidRPr="00BB6C21" w:rsidRDefault="005325AC" w:rsidP="000D30D1">
            <w:pPr>
              <w:jc w:val="both"/>
              <w:rPr>
                <w:b/>
              </w:rPr>
            </w:pPr>
            <w:r w:rsidRPr="00BB6C21">
              <w:rPr>
                <w:b/>
              </w:rPr>
              <w:t>Risultato atteso</w:t>
            </w:r>
          </w:p>
          <w:p w:rsidR="005325AC" w:rsidRPr="00BB6C21" w:rsidRDefault="005325AC" w:rsidP="000D30D1">
            <w:pPr>
              <w:jc w:val="both"/>
            </w:pPr>
            <w:r w:rsidRPr="00BB6C21">
              <w:rPr>
                <w:rFonts w:eastAsia="Times New Roman"/>
                <w:lang w:eastAsia="it-IT"/>
              </w:rPr>
              <w:t>Evidenza del piano per il contenimento dei tempi di attesa coerentemente ai volumi storici.</w:t>
            </w:r>
          </w:p>
        </w:tc>
      </w:tr>
      <w:tr w:rsidR="005325AC" w:rsidRPr="003113FF" w:rsidTr="000D3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jc w:val="center"/>
        </w:trPr>
        <w:tc>
          <w:tcPr>
            <w:tcW w:w="985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325AC" w:rsidRPr="00BB6C21" w:rsidRDefault="005325AC" w:rsidP="000D30D1">
            <w:pPr>
              <w:jc w:val="both"/>
              <w:outlineLvl w:val="0"/>
              <w:rPr>
                <w:rFonts w:eastAsia="MS Mincho" w:cs="Calibri"/>
                <w:b/>
              </w:rPr>
            </w:pPr>
            <w:r w:rsidRPr="00BB6C21">
              <w:rPr>
                <w:rFonts w:eastAsia="MS Mincho" w:cs="Calibri"/>
                <w:b/>
              </w:rPr>
              <w:t>Attuazione al 31.12.2015</w:t>
            </w:r>
          </w:p>
          <w:p w:rsidR="005325AC" w:rsidRPr="00BB6C21" w:rsidRDefault="005325AC" w:rsidP="000D30D1">
            <w:pPr>
              <w:autoSpaceDE w:val="0"/>
              <w:autoSpaceDN w:val="0"/>
              <w:adjustRightInd w:val="0"/>
              <w:jc w:val="both"/>
              <w:rPr>
                <w:rFonts w:cs="Calibri"/>
              </w:rPr>
            </w:pPr>
            <w:r w:rsidRPr="00BB6C21">
              <w:rPr>
                <w:rFonts w:cs="Calibri"/>
              </w:rPr>
              <w:t>Il piano di contenimento dei tempi di attesa è stato monitorato e aggiornato con i volumi consolidati dell’anno 2015.</w:t>
            </w:r>
          </w:p>
        </w:tc>
      </w:tr>
      <w:tr w:rsidR="005325AC" w:rsidRPr="003113FF" w:rsidTr="000D30D1">
        <w:tblPrEx>
          <w:tblLook w:val="04A0"/>
        </w:tblPrEx>
        <w:trPr>
          <w:trHeight w:val="720"/>
          <w:jc w:val="center"/>
        </w:trPr>
        <w:tc>
          <w:tcPr>
            <w:tcW w:w="4533" w:type="dxa"/>
            <w:tcBorders>
              <w:top w:val="nil"/>
              <w:left w:val="single" w:sz="8" w:space="0" w:color="auto"/>
              <w:bottom w:val="single" w:sz="4" w:space="0" w:color="auto"/>
              <w:right w:val="single" w:sz="8" w:space="0" w:color="000000"/>
            </w:tcBorders>
            <w:shd w:val="clear" w:color="auto" w:fill="E6E6E6"/>
            <w:tcMar>
              <w:top w:w="0" w:type="dxa"/>
              <w:left w:w="70" w:type="dxa"/>
              <w:bottom w:w="0" w:type="dxa"/>
              <w:right w:w="70" w:type="dxa"/>
            </w:tcMar>
          </w:tcPr>
          <w:p w:rsidR="005325AC" w:rsidRPr="004C3A42" w:rsidRDefault="005325AC" w:rsidP="000D30D1">
            <w:pPr>
              <w:jc w:val="both"/>
              <w:rPr>
                <w:b/>
              </w:rPr>
            </w:pPr>
            <w:r w:rsidRPr="004C3A42">
              <w:rPr>
                <w:b/>
              </w:rPr>
              <w:t>Obiettivo aziendale</w:t>
            </w:r>
          </w:p>
          <w:p w:rsidR="005325AC" w:rsidRPr="004C3A42" w:rsidRDefault="005325AC" w:rsidP="000D30D1">
            <w:pPr>
              <w:jc w:val="both"/>
            </w:pPr>
            <w:r w:rsidRPr="004C3A42">
              <w:rPr>
                <w:rFonts w:cs="DecimaWE-Regular"/>
              </w:rPr>
              <w:t>Partecipazione allo sviluppo dei criteri di priorità regionali.</w:t>
            </w:r>
          </w:p>
        </w:tc>
        <w:tc>
          <w:tcPr>
            <w:tcW w:w="5321" w:type="dxa"/>
            <w:tcBorders>
              <w:top w:val="nil"/>
              <w:left w:val="nil"/>
              <w:bottom w:val="single" w:sz="4" w:space="0" w:color="auto"/>
              <w:right w:val="single" w:sz="8" w:space="0" w:color="auto"/>
            </w:tcBorders>
            <w:shd w:val="clear" w:color="auto" w:fill="E6E6E6"/>
            <w:tcMar>
              <w:top w:w="0" w:type="dxa"/>
              <w:left w:w="70" w:type="dxa"/>
              <w:bottom w:w="0" w:type="dxa"/>
              <w:right w:w="70" w:type="dxa"/>
            </w:tcMar>
            <w:hideMark/>
          </w:tcPr>
          <w:p w:rsidR="005325AC" w:rsidRPr="004C3A42" w:rsidRDefault="005325AC" w:rsidP="000D30D1">
            <w:pPr>
              <w:jc w:val="both"/>
              <w:rPr>
                <w:b/>
              </w:rPr>
            </w:pPr>
            <w:r w:rsidRPr="004C3A42">
              <w:rPr>
                <w:b/>
              </w:rPr>
              <w:t>Risultato atteso</w:t>
            </w:r>
          </w:p>
          <w:p w:rsidR="005325AC" w:rsidRPr="00227DC3" w:rsidRDefault="005325AC" w:rsidP="000D30D1">
            <w:pPr>
              <w:jc w:val="both"/>
            </w:pPr>
            <w:r w:rsidRPr="00227DC3">
              <w:rPr>
                <w:rFonts w:ascii="DecimaWE Rg" w:hAnsi="DecimaWE Rg"/>
              </w:rPr>
              <w:t>l’Azienda parteciperà allo sviluppo dei criteri di priorità regionali secondo le indicazioni della Direzione Centrale</w:t>
            </w:r>
          </w:p>
        </w:tc>
      </w:tr>
      <w:tr w:rsidR="005325AC" w:rsidRPr="0030525A" w:rsidTr="000D3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jc w:val="center"/>
        </w:trPr>
        <w:tc>
          <w:tcPr>
            <w:tcW w:w="985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325AC" w:rsidRPr="00BB6C21" w:rsidRDefault="005325AC" w:rsidP="000D30D1">
            <w:pPr>
              <w:jc w:val="both"/>
              <w:outlineLvl w:val="0"/>
              <w:rPr>
                <w:rFonts w:eastAsia="MS Mincho" w:cs="Calibri"/>
                <w:b/>
              </w:rPr>
            </w:pPr>
            <w:r w:rsidRPr="00BB6C21">
              <w:rPr>
                <w:rFonts w:eastAsia="MS Mincho" w:cs="Calibri"/>
                <w:b/>
              </w:rPr>
              <w:t>Attuazione al 31.12.2015</w:t>
            </w:r>
          </w:p>
          <w:p w:rsidR="005325AC" w:rsidRPr="00C579A1" w:rsidRDefault="005325AC" w:rsidP="000D30D1">
            <w:pPr>
              <w:jc w:val="both"/>
              <w:outlineLvl w:val="0"/>
              <w:rPr>
                <w:rFonts w:cstheme="minorHAnsi"/>
                <w:bCs/>
              </w:rPr>
            </w:pPr>
            <w:r w:rsidRPr="00C579A1">
              <w:rPr>
                <w:rFonts w:cs="Calibri"/>
              </w:rPr>
              <w:t>non sono stati avviati tavoli regionali per lo sviluppo di criteri di priorità</w:t>
            </w:r>
            <w:r>
              <w:rPr>
                <w:rFonts w:cs="Calibri"/>
              </w:rPr>
              <w:t>.</w:t>
            </w:r>
          </w:p>
        </w:tc>
      </w:tr>
      <w:tr w:rsidR="005325AC" w:rsidRPr="0030525A" w:rsidTr="000D3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jc w:val="center"/>
        </w:trPr>
        <w:tc>
          <w:tcPr>
            <w:tcW w:w="4533" w:type="dxa"/>
            <w:tcBorders>
              <w:top w:val="single" w:sz="4" w:space="0" w:color="auto"/>
              <w:left w:val="single" w:sz="4" w:space="0" w:color="auto"/>
              <w:bottom w:val="single" w:sz="4" w:space="0" w:color="auto"/>
              <w:right w:val="single" w:sz="4" w:space="0" w:color="auto"/>
            </w:tcBorders>
            <w:shd w:val="clear" w:color="auto" w:fill="E0E0E0"/>
          </w:tcPr>
          <w:p w:rsidR="005325AC" w:rsidRPr="009C1F6D" w:rsidRDefault="005325AC" w:rsidP="000D30D1">
            <w:pPr>
              <w:autoSpaceDE w:val="0"/>
              <w:autoSpaceDN w:val="0"/>
              <w:adjustRightInd w:val="0"/>
              <w:rPr>
                <w:rFonts w:cs="DecimaWE-Regular"/>
                <w:b/>
              </w:rPr>
            </w:pPr>
            <w:r w:rsidRPr="009C1F6D">
              <w:rPr>
                <w:rFonts w:eastAsia="Times New Roman"/>
                <w:b/>
                <w:lang w:eastAsia="it-IT"/>
              </w:rPr>
              <w:t>Obiettivo aziendale</w:t>
            </w:r>
          </w:p>
          <w:p w:rsidR="005325AC" w:rsidRPr="0030525A" w:rsidRDefault="005325AC" w:rsidP="000D30D1">
            <w:pPr>
              <w:autoSpaceDE w:val="0"/>
              <w:autoSpaceDN w:val="0"/>
              <w:adjustRightInd w:val="0"/>
              <w:rPr>
                <w:rFonts w:cs="DecimaWE-Regular"/>
              </w:rPr>
            </w:pPr>
            <w:r w:rsidRPr="0030525A">
              <w:rPr>
                <w:rFonts w:cs="DecimaWE-Regular"/>
              </w:rPr>
              <w:lastRenderedPageBreak/>
              <w:t>Individuazione di un responsabile unico per ciascun ente per la gestione delle agende di prenotazione della specialistica ambulatoriale.</w:t>
            </w:r>
          </w:p>
        </w:tc>
        <w:tc>
          <w:tcPr>
            <w:tcW w:w="5321" w:type="dxa"/>
            <w:tcBorders>
              <w:top w:val="single" w:sz="4" w:space="0" w:color="auto"/>
              <w:left w:val="single" w:sz="4" w:space="0" w:color="auto"/>
              <w:bottom w:val="single" w:sz="4" w:space="0" w:color="auto"/>
              <w:right w:val="single" w:sz="4" w:space="0" w:color="auto"/>
            </w:tcBorders>
            <w:shd w:val="clear" w:color="auto" w:fill="E0E0E0"/>
          </w:tcPr>
          <w:p w:rsidR="005325AC" w:rsidRPr="009C1F6D" w:rsidRDefault="005325AC" w:rsidP="000D30D1">
            <w:pPr>
              <w:jc w:val="both"/>
              <w:rPr>
                <w:rFonts w:eastAsia="Times New Roman"/>
                <w:b/>
                <w:lang w:eastAsia="it-IT"/>
              </w:rPr>
            </w:pPr>
            <w:r w:rsidRPr="009C1F6D">
              <w:rPr>
                <w:rFonts w:eastAsia="Times New Roman"/>
                <w:b/>
                <w:lang w:eastAsia="it-IT"/>
              </w:rPr>
              <w:lastRenderedPageBreak/>
              <w:t>Risultato atteso</w:t>
            </w:r>
          </w:p>
          <w:p w:rsidR="005325AC" w:rsidRPr="0030525A" w:rsidRDefault="005325AC" w:rsidP="000D30D1">
            <w:pPr>
              <w:jc w:val="both"/>
              <w:rPr>
                <w:rFonts w:eastAsia="Times New Roman"/>
                <w:lang w:eastAsia="it-IT"/>
              </w:rPr>
            </w:pPr>
            <w:r w:rsidRPr="0030525A">
              <w:rPr>
                <w:rFonts w:eastAsia="Times New Roman"/>
                <w:lang w:eastAsia="it-IT"/>
              </w:rPr>
              <w:lastRenderedPageBreak/>
              <w:t>Nomina formale di un responsabile unico per ciascun ente per la gestione delle agende di prenotazione della specialistica ambulatoriale.</w:t>
            </w:r>
          </w:p>
        </w:tc>
      </w:tr>
    </w:tbl>
    <w:p w:rsidR="005325AC" w:rsidRDefault="005325AC" w:rsidP="005325AC"/>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3"/>
        <w:gridCol w:w="5321"/>
      </w:tblGrid>
      <w:tr w:rsidR="005325AC" w:rsidRPr="0030525A" w:rsidTr="000D30D1">
        <w:trPr>
          <w:jc w:val="center"/>
        </w:trPr>
        <w:tc>
          <w:tcPr>
            <w:tcW w:w="985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325AC" w:rsidRDefault="005325AC" w:rsidP="000D30D1">
            <w:pPr>
              <w:jc w:val="both"/>
              <w:outlineLvl w:val="0"/>
              <w:rPr>
                <w:rFonts w:cs="DecimaWE Rg"/>
                <w:b/>
                <w:bCs/>
              </w:rPr>
            </w:pPr>
            <w:r>
              <w:rPr>
                <w:rFonts w:cs="DecimaWE Rg"/>
                <w:b/>
                <w:bCs/>
              </w:rPr>
              <w:t xml:space="preserve">Attuazione al 31.12.2015 </w:t>
            </w:r>
          </w:p>
          <w:p w:rsidR="005325AC" w:rsidRPr="00C579A1" w:rsidRDefault="005325AC" w:rsidP="000D30D1">
            <w:pPr>
              <w:autoSpaceDE w:val="0"/>
              <w:autoSpaceDN w:val="0"/>
              <w:adjustRightInd w:val="0"/>
              <w:jc w:val="both"/>
              <w:rPr>
                <w:rFonts w:cs="Calibri"/>
              </w:rPr>
            </w:pPr>
            <w:r w:rsidRPr="00C579A1">
              <w:rPr>
                <w:rFonts w:cs="Calibri"/>
              </w:rPr>
              <w:t xml:space="preserve">con nota </w:t>
            </w:r>
            <w:proofErr w:type="spellStart"/>
            <w:r w:rsidRPr="00C579A1">
              <w:rPr>
                <w:rFonts w:cs="Calibri"/>
              </w:rPr>
              <w:t>prot</w:t>
            </w:r>
            <w:proofErr w:type="spellEnd"/>
            <w:r w:rsidRPr="00C579A1">
              <w:rPr>
                <w:rFonts w:cs="Calibri"/>
              </w:rPr>
              <w:t>. n. 8743/DG del 18.05.2015 è stato nominato il responsabile unico delle agende di prenotazione della specialistica ambulatoriale.</w:t>
            </w:r>
          </w:p>
        </w:tc>
      </w:tr>
      <w:tr w:rsidR="005325AC" w:rsidRPr="0030525A" w:rsidTr="000D30D1">
        <w:trPr>
          <w:jc w:val="center"/>
        </w:trPr>
        <w:tc>
          <w:tcPr>
            <w:tcW w:w="4533" w:type="dxa"/>
            <w:tcBorders>
              <w:top w:val="single" w:sz="4" w:space="0" w:color="auto"/>
              <w:left w:val="single" w:sz="4" w:space="0" w:color="auto"/>
              <w:bottom w:val="single" w:sz="4" w:space="0" w:color="auto"/>
              <w:right w:val="single" w:sz="4" w:space="0" w:color="auto"/>
            </w:tcBorders>
            <w:shd w:val="clear" w:color="auto" w:fill="E0E0E0"/>
          </w:tcPr>
          <w:p w:rsidR="005325AC" w:rsidRPr="009C1F6D" w:rsidRDefault="005325AC" w:rsidP="000D30D1">
            <w:pPr>
              <w:autoSpaceDE w:val="0"/>
              <w:autoSpaceDN w:val="0"/>
              <w:adjustRightInd w:val="0"/>
              <w:rPr>
                <w:rFonts w:cs="DecimaWE-Regular"/>
                <w:b/>
              </w:rPr>
            </w:pPr>
            <w:r w:rsidRPr="009C1F6D">
              <w:rPr>
                <w:rFonts w:eastAsia="Times New Roman"/>
                <w:b/>
                <w:lang w:eastAsia="it-IT"/>
              </w:rPr>
              <w:t>Obiettivo di area vasta</w:t>
            </w:r>
          </w:p>
          <w:p w:rsidR="005325AC" w:rsidRPr="0030525A" w:rsidRDefault="005325AC" w:rsidP="000D30D1">
            <w:pPr>
              <w:autoSpaceDE w:val="0"/>
              <w:autoSpaceDN w:val="0"/>
              <w:adjustRightInd w:val="0"/>
            </w:pPr>
            <w:r w:rsidRPr="0030525A">
              <w:rPr>
                <w:rFonts w:cs="DecimaWE-Regular"/>
              </w:rPr>
              <w:t>Attivare il comitato per il monitoraggio e la valutazione dell’andamento dei tempi d’attesa delle prestazioni erogate, composto da rappresentanti dei cittadini e da professionisti</w:t>
            </w:r>
          </w:p>
        </w:tc>
        <w:tc>
          <w:tcPr>
            <w:tcW w:w="5321" w:type="dxa"/>
            <w:tcBorders>
              <w:top w:val="single" w:sz="4" w:space="0" w:color="auto"/>
              <w:left w:val="single" w:sz="4" w:space="0" w:color="auto"/>
              <w:bottom w:val="single" w:sz="4" w:space="0" w:color="auto"/>
              <w:right w:val="single" w:sz="4" w:space="0" w:color="auto"/>
            </w:tcBorders>
            <w:shd w:val="clear" w:color="auto" w:fill="E0E0E0"/>
          </w:tcPr>
          <w:p w:rsidR="005325AC" w:rsidRPr="009C1F6D" w:rsidRDefault="005325AC" w:rsidP="000D30D1">
            <w:pPr>
              <w:jc w:val="both"/>
              <w:rPr>
                <w:rFonts w:eastAsia="Times New Roman"/>
                <w:b/>
                <w:lang w:eastAsia="it-IT"/>
              </w:rPr>
            </w:pPr>
            <w:r w:rsidRPr="009C1F6D">
              <w:rPr>
                <w:rFonts w:eastAsia="Times New Roman"/>
                <w:b/>
                <w:lang w:eastAsia="it-IT"/>
              </w:rPr>
              <w:t>Risultato atteso</w:t>
            </w:r>
          </w:p>
          <w:p w:rsidR="005325AC" w:rsidRPr="0030525A" w:rsidRDefault="005325AC" w:rsidP="000D30D1">
            <w:pPr>
              <w:autoSpaceDE w:val="0"/>
              <w:autoSpaceDN w:val="0"/>
              <w:adjustRightInd w:val="0"/>
              <w:jc w:val="both"/>
            </w:pPr>
            <w:r w:rsidRPr="0030525A">
              <w:rPr>
                <w:rFonts w:cs="DecimaWE-Regular"/>
              </w:rPr>
              <w:t>Attivazione entro aprile 2015  del comitato per il monitoraggio e la valutazione dell’andamento dei tempi d’attesa delle prestazioni erogate.</w:t>
            </w:r>
          </w:p>
        </w:tc>
      </w:tr>
      <w:tr w:rsidR="005325AC" w:rsidRPr="0030525A" w:rsidTr="000D30D1">
        <w:trPr>
          <w:jc w:val="center"/>
        </w:trPr>
        <w:tc>
          <w:tcPr>
            <w:tcW w:w="985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325AC" w:rsidRDefault="005325AC" w:rsidP="000D30D1">
            <w:pPr>
              <w:jc w:val="both"/>
              <w:outlineLvl w:val="0"/>
              <w:rPr>
                <w:rFonts w:cs="DecimaWE Rg"/>
                <w:b/>
                <w:bCs/>
              </w:rPr>
            </w:pPr>
            <w:r>
              <w:rPr>
                <w:rFonts w:eastAsia="MS Mincho" w:cs="Calibri"/>
                <w:b/>
              </w:rPr>
              <w:t>Attuazione al 31.12.2015:</w:t>
            </w:r>
          </w:p>
          <w:p w:rsidR="005325AC" w:rsidRPr="00C579A1" w:rsidRDefault="005325AC" w:rsidP="000D30D1">
            <w:pPr>
              <w:jc w:val="both"/>
            </w:pPr>
            <w:r w:rsidRPr="00C579A1">
              <w:rPr>
                <w:rFonts w:cs="Calibri"/>
              </w:rPr>
              <w:t>con nota del 30.04.2015 della AAS5 Friuli Occidentale è stato formalizzato il comitato per il monitoraggio e la valutazione dell’andamento dei tempi di attesa delle prestazioni erogate a livello di Area Vasta.</w:t>
            </w:r>
          </w:p>
        </w:tc>
      </w:tr>
      <w:tr w:rsidR="005325AC" w:rsidRPr="004C3A42" w:rsidTr="000D30D1">
        <w:trPr>
          <w:jc w:val="center"/>
        </w:trPr>
        <w:tc>
          <w:tcPr>
            <w:tcW w:w="4533" w:type="dxa"/>
            <w:tcBorders>
              <w:top w:val="single" w:sz="4" w:space="0" w:color="auto"/>
              <w:left w:val="single" w:sz="4" w:space="0" w:color="auto"/>
              <w:bottom w:val="single" w:sz="4" w:space="0" w:color="auto"/>
              <w:right w:val="single" w:sz="4" w:space="0" w:color="auto"/>
            </w:tcBorders>
            <w:shd w:val="clear" w:color="auto" w:fill="E0E0E0"/>
          </w:tcPr>
          <w:p w:rsidR="005325AC" w:rsidRPr="00227DC3" w:rsidRDefault="005325AC" w:rsidP="000D30D1">
            <w:pPr>
              <w:jc w:val="both"/>
              <w:rPr>
                <w:b/>
              </w:rPr>
            </w:pPr>
            <w:r w:rsidRPr="00227DC3">
              <w:rPr>
                <w:b/>
              </w:rPr>
              <w:t>Obiettivo aziendale:</w:t>
            </w:r>
          </w:p>
          <w:p w:rsidR="005325AC" w:rsidRPr="00227DC3" w:rsidRDefault="005325AC" w:rsidP="000D30D1">
            <w:pPr>
              <w:jc w:val="both"/>
            </w:pPr>
            <w:r w:rsidRPr="00227DC3">
              <w:t>Implementazione delle agende di prenotazione</w:t>
            </w:r>
          </w:p>
          <w:p w:rsidR="005325AC" w:rsidRPr="00227DC3" w:rsidRDefault="005325AC" w:rsidP="000D30D1">
            <w:pPr>
              <w:jc w:val="both"/>
            </w:pPr>
            <w:r w:rsidRPr="00227DC3">
              <w:t>Gestione della propria offerta.</w:t>
            </w:r>
          </w:p>
          <w:p w:rsidR="005325AC" w:rsidRPr="00227DC3" w:rsidRDefault="005325AC" w:rsidP="000D30D1">
            <w:pPr>
              <w:jc w:val="both"/>
            </w:pPr>
            <w:r w:rsidRPr="00227DC3">
              <w:t>Monitoraggio tempi di attesa</w:t>
            </w:r>
          </w:p>
          <w:p w:rsidR="005325AC" w:rsidRPr="00227DC3" w:rsidRDefault="005325AC" w:rsidP="000D30D1">
            <w:pPr>
              <w:jc w:val="both"/>
            </w:pPr>
            <w:r w:rsidRPr="00227DC3">
              <w:t>Agende di prenotazione</w:t>
            </w:r>
          </w:p>
          <w:p w:rsidR="005325AC" w:rsidRPr="00227DC3" w:rsidRDefault="005325AC" w:rsidP="000D30D1">
            <w:pPr>
              <w:autoSpaceDE w:val="0"/>
              <w:autoSpaceDN w:val="0"/>
              <w:adjustRightInd w:val="0"/>
            </w:pPr>
          </w:p>
        </w:tc>
        <w:tc>
          <w:tcPr>
            <w:tcW w:w="5321" w:type="dxa"/>
            <w:tcBorders>
              <w:top w:val="single" w:sz="4" w:space="0" w:color="auto"/>
              <w:left w:val="single" w:sz="4" w:space="0" w:color="auto"/>
              <w:bottom w:val="single" w:sz="4" w:space="0" w:color="auto"/>
              <w:right w:val="single" w:sz="4" w:space="0" w:color="auto"/>
            </w:tcBorders>
            <w:shd w:val="clear" w:color="auto" w:fill="E0E0E0"/>
          </w:tcPr>
          <w:p w:rsidR="005325AC" w:rsidRPr="00227DC3" w:rsidRDefault="005325AC" w:rsidP="000D30D1">
            <w:pPr>
              <w:jc w:val="both"/>
              <w:rPr>
                <w:rFonts w:eastAsia="Times New Roman"/>
                <w:b/>
                <w:lang w:eastAsia="it-IT"/>
              </w:rPr>
            </w:pPr>
            <w:r w:rsidRPr="00227DC3">
              <w:rPr>
                <w:rFonts w:eastAsia="Times New Roman"/>
                <w:b/>
                <w:lang w:eastAsia="it-IT"/>
              </w:rPr>
              <w:t>Risultato atteso</w:t>
            </w:r>
          </w:p>
          <w:p w:rsidR="005325AC" w:rsidRPr="00227DC3" w:rsidRDefault="005325AC" w:rsidP="000D30D1">
            <w:pPr>
              <w:autoSpaceDE w:val="0"/>
              <w:autoSpaceDN w:val="0"/>
              <w:adjustRightInd w:val="0"/>
              <w:jc w:val="both"/>
            </w:pPr>
            <w:r w:rsidRPr="00227DC3">
              <w:t>Si rimanda a quanto contenuto nel capitolo “Tempi di attesa” dell’allegato 6 “Proposta alla Giunta regionale di integrazione agli atti di programmazione regionale e modifiche agli atti di programmazione ed ai bilanci preventivi aziendali</w:t>
            </w:r>
            <w:r w:rsidRPr="00227DC3">
              <w:rPr>
                <w:rFonts w:cs="DecimaWERg,Bold"/>
                <w:bCs/>
              </w:rPr>
              <w:t>”</w:t>
            </w:r>
          </w:p>
        </w:tc>
      </w:tr>
      <w:tr w:rsidR="005325AC" w:rsidRPr="0030525A" w:rsidTr="000D30D1">
        <w:trPr>
          <w:jc w:val="center"/>
        </w:trPr>
        <w:tc>
          <w:tcPr>
            <w:tcW w:w="985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325AC" w:rsidRPr="004C3A42" w:rsidRDefault="005325AC" w:rsidP="000D30D1">
            <w:pPr>
              <w:jc w:val="both"/>
              <w:outlineLvl w:val="0"/>
              <w:rPr>
                <w:rFonts w:eastAsia="MS Mincho" w:cs="Calibri"/>
                <w:b/>
              </w:rPr>
            </w:pPr>
            <w:r w:rsidRPr="004C3A42">
              <w:rPr>
                <w:rFonts w:eastAsia="MS Mincho" w:cs="Calibri"/>
                <w:b/>
              </w:rPr>
              <w:t>Attuazione al 31.12.2015</w:t>
            </w:r>
          </w:p>
          <w:p w:rsidR="005325AC" w:rsidRPr="004C3A42" w:rsidRDefault="005325AC" w:rsidP="000D30D1">
            <w:pPr>
              <w:jc w:val="both"/>
              <w:outlineLvl w:val="0"/>
              <w:rPr>
                <w:rFonts w:eastAsia="MS Mincho" w:cs="Calibri"/>
              </w:rPr>
            </w:pPr>
            <w:r w:rsidRPr="004C3A42">
              <w:rPr>
                <w:rFonts w:eastAsia="MS Mincho" w:cs="Calibri"/>
              </w:rPr>
              <w:t>L’implementazione delle agende di prenotazione è stata eseguita secondo i criteri e le tempistiche (30 settembre) dettati dalla regione. È continuo il monitoraggio della loro apertura almeno a 12 mesi.</w:t>
            </w:r>
          </w:p>
          <w:p w:rsidR="005325AC" w:rsidRPr="002E2BA0" w:rsidRDefault="005325AC" w:rsidP="000D30D1">
            <w:pPr>
              <w:jc w:val="both"/>
              <w:outlineLvl w:val="0"/>
              <w:rPr>
                <w:rFonts w:cs="DecimaWE Rg"/>
                <w:b/>
                <w:bCs/>
              </w:rPr>
            </w:pPr>
            <w:r w:rsidRPr="004C3A42">
              <w:rPr>
                <w:rFonts w:eastAsia="MS Mincho" w:cs="Calibri"/>
              </w:rPr>
              <w:t>Il monitoraggio dei tempi di attesa è avvenuto a cura della Direzione Centrale Salute, comunicato alle aziende e inserito nella rendicontazione dell’obiettivo specifico contenuto nel Patto del DG. Il CRO ha inoltre partecipato al monitoraggio nazionale dei tempi di attesa inviando nei tempi previsti i propri dati alla DCS.</w:t>
            </w:r>
          </w:p>
        </w:tc>
      </w:tr>
      <w:tr w:rsidR="005325AC" w:rsidRPr="000C564F" w:rsidTr="000D3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jc w:val="center"/>
        </w:trPr>
        <w:tc>
          <w:tcPr>
            <w:tcW w:w="9854" w:type="dxa"/>
            <w:gridSpan w:val="2"/>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hideMark/>
          </w:tcPr>
          <w:p w:rsidR="005325AC" w:rsidRPr="003066DC" w:rsidRDefault="005325AC" w:rsidP="000D30D1">
            <w:pPr>
              <w:jc w:val="both"/>
              <w:rPr>
                <w:b/>
                <w:bCs/>
              </w:rPr>
            </w:pPr>
            <w:r w:rsidRPr="003066DC">
              <w:rPr>
                <w:b/>
                <w:bCs/>
              </w:rPr>
              <w:t>Linea progettuale n 3.4.8 Rischio clinico</w:t>
            </w:r>
          </w:p>
        </w:tc>
      </w:tr>
      <w:tr w:rsidR="005325AC" w:rsidRPr="0030525A" w:rsidTr="000D3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720"/>
          <w:jc w:val="center"/>
        </w:trPr>
        <w:tc>
          <w:tcPr>
            <w:tcW w:w="4533" w:type="dxa"/>
            <w:tcBorders>
              <w:top w:val="nil"/>
              <w:left w:val="single" w:sz="8" w:space="0" w:color="auto"/>
              <w:bottom w:val="single" w:sz="4" w:space="0" w:color="auto"/>
              <w:right w:val="single" w:sz="8" w:space="0" w:color="000000"/>
            </w:tcBorders>
            <w:shd w:val="clear" w:color="auto" w:fill="E6E6E6"/>
            <w:tcMar>
              <w:top w:w="0" w:type="dxa"/>
              <w:left w:w="70" w:type="dxa"/>
              <w:bottom w:w="0" w:type="dxa"/>
              <w:right w:w="70" w:type="dxa"/>
            </w:tcMar>
          </w:tcPr>
          <w:p w:rsidR="005325AC" w:rsidRPr="00DE4C52" w:rsidRDefault="005325AC" w:rsidP="000D30D1">
            <w:pPr>
              <w:jc w:val="both"/>
              <w:rPr>
                <w:b/>
              </w:rPr>
            </w:pPr>
            <w:r w:rsidRPr="00DE4C52">
              <w:rPr>
                <w:b/>
              </w:rPr>
              <w:t xml:space="preserve">Obiettivo aziendale </w:t>
            </w:r>
          </w:p>
          <w:p w:rsidR="005325AC" w:rsidRPr="00DE4C52" w:rsidRDefault="005325AC" w:rsidP="000D30D1">
            <w:pPr>
              <w:autoSpaceDE w:val="0"/>
              <w:autoSpaceDN w:val="0"/>
              <w:adjustRightInd w:val="0"/>
              <w:jc w:val="both"/>
              <w:rPr>
                <w:bCs/>
              </w:rPr>
            </w:pPr>
            <w:r w:rsidRPr="00DE4C52">
              <w:rPr>
                <w:bCs/>
              </w:rPr>
              <w:t xml:space="preserve">contribuire a garantire livelli di qualità e sicurezza omogenei per le cure sanitarie sul territorio regionale attraverso la partecipazione </w:t>
            </w:r>
            <w:r w:rsidRPr="00DE4C52">
              <w:rPr>
                <w:bCs/>
              </w:rPr>
              <w:lastRenderedPageBreak/>
              <w:t>alle principali linee di lavoro previste dal programma regionale Rischio Clinico</w:t>
            </w:r>
          </w:p>
        </w:tc>
        <w:tc>
          <w:tcPr>
            <w:tcW w:w="5321" w:type="dxa"/>
            <w:tcBorders>
              <w:top w:val="nil"/>
              <w:left w:val="nil"/>
              <w:bottom w:val="single" w:sz="4" w:space="0" w:color="auto"/>
              <w:right w:val="single" w:sz="8" w:space="0" w:color="auto"/>
            </w:tcBorders>
            <w:shd w:val="clear" w:color="auto" w:fill="E6E6E6"/>
            <w:tcMar>
              <w:top w:w="0" w:type="dxa"/>
              <w:left w:w="70" w:type="dxa"/>
              <w:bottom w:w="0" w:type="dxa"/>
              <w:right w:w="70" w:type="dxa"/>
            </w:tcMar>
            <w:hideMark/>
          </w:tcPr>
          <w:p w:rsidR="005325AC" w:rsidRPr="00DE4C52" w:rsidRDefault="005325AC" w:rsidP="000D30D1">
            <w:pPr>
              <w:jc w:val="both"/>
              <w:rPr>
                <w:b/>
              </w:rPr>
            </w:pPr>
            <w:r w:rsidRPr="00DE4C52">
              <w:rPr>
                <w:b/>
              </w:rPr>
              <w:lastRenderedPageBreak/>
              <w:t>Risultato atteso</w:t>
            </w:r>
          </w:p>
          <w:p w:rsidR="005325AC" w:rsidRPr="00DE4C52" w:rsidRDefault="005325AC" w:rsidP="000D30D1">
            <w:pPr>
              <w:autoSpaceDE w:val="0"/>
              <w:autoSpaceDN w:val="0"/>
              <w:adjustRightInd w:val="0"/>
              <w:rPr>
                <w:rFonts w:cs="DecimaWE-Regular"/>
              </w:rPr>
            </w:pPr>
            <w:r w:rsidRPr="00DE4C52">
              <w:rPr>
                <w:rFonts w:cs="Cambria"/>
              </w:rPr>
              <w:t xml:space="preserve">1. </w:t>
            </w:r>
            <w:r w:rsidRPr="00DE4C52">
              <w:rPr>
                <w:rFonts w:cs="DecimaWE-Regular"/>
              </w:rPr>
              <w:t>monitoraggio degli indicatori concordati</w:t>
            </w:r>
          </w:p>
          <w:p w:rsidR="005325AC" w:rsidRPr="00DE4C52" w:rsidRDefault="005325AC" w:rsidP="000D30D1">
            <w:pPr>
              <w:autoSpaceDE w:val="0"/>
              <w:autoSpaceDN w:val="0"/>
              <w:adjustRightInd w:val="0"/>
              <w:rPr>
                <w:rFonts w:cs="DecimaWE-Regular"/>
              </w:rPr>
            </w:pPr>
            <w:r w:rsidRPr="00DE4C52">
              <w:rPr>
                <w:rFonts w:cs="Cambria"/>
              </w:rPr>
              <w:t xml:space="preserve">2. </w:t>
            </w:r>
            <w:r w:rsidRPr="00DE4C52">
              <w:rPr>
                <w:rFonts w:cs="DecimaWE-Regular"/>
              </w:rPr>
              <w:t xml:space="preserve">diffusione, messa a regime e monitoraggio delle </w:t>
            </w:r>
            <w:r w:rsidRPr="00DE4C52">
              <w:rPr>
                <w:rFonts w:cs="DecimaWE-Regular"/>
              </w:rPr>
              <w:lastRenderedPageBreak/>
              <w:t>raccomandazioni ministeriali e dei programmi di:</w:t>
            </w:r>
          </w:p>
          <w:p w:rsidR="005325AC" w:rsidRPr="00DE4C52" w:rsidRDefault="005325AC" w:rsidP="000D30D1">
            <w:pPr>
              <w:autoSpaceDE w:val="0"/>
              <w:autoSpaceDN w:val="0"/>
              <w:adjustRightInd w:val="0"/>
              <w:rPr>
                <w:rFonts w:cs="DecimaWE-Regular"/>
              </w:rPr>
            </w:pPr>
            <w:r w:rsidRPr="00DE4C52">
              <w:rPr>
                <w:rFonts w:cs="Courier New"/>
              </w:rPr>
              <w:t xml:space="preserve">- </w:t>
            </w:r>
            <w:r w:rsidRPr="00DE4C52">
              <w:rPr>
                <w:rFonts w:cs="DecimaWE-Regular"/>
              </w:rPr>
              <w:t>rischio infettivo</w:t>
            </w:r>
          </w:p>
          <w:p w:rsidR="005325AC" w:rsidRPr="00DE4C52" w:rsidRDefault="005325AC" w:rsidP="000D30D1">
            <w:pPr>
              <w:autoSpaceDE w:val="0"/>
              <w:autoSpaceDN w:val="0"/>
              <w:adjustRightInd w:val="0"/>
              <w:rPr>
                <w:rFonts w:cs="DecimaWE-Regular"/>
              </w:rPr>
            </w:pPr>
            <w:r w:rsidRPr="00DE4C52">
              <w:rPr>
                <w:rFonts w:cs="Courier New"/>
              </w:rPr>
              <w:t xml:space="preserve">- </w:t>
            </w:r>
            <w:r w:rsidRPr="00DE4C52">
              <w:rPr>
                <w:rFonts w:cs="DecimaWE-Regular"/>
              </w:rPr>
              <w:t>lesioni da pressione</w:t>
            </w:r>
          </w:p>
          <w:p w:rsidR="005325AC" w:rsidRPr="00DE4C52" w:rsidRDefault="005325AC" w:rsidP="000D30D1">
            <w:pPr>
              <w:autoSpaceDE w:val="0"/>
              <w:autoSpaceDN w:val="0"/>
              <w:adjustRightInd w:val="0"/>
              <w:rPr>
                <w:rFonts w:cs="DecimaWE-Regular"/>
              </w:rPr>
            </w:pPr>
            <w:r w:rsidRPr="00DE4C52">
              <w:rPr>
                <w:rFonts w:cs="Courier New"/>
              </w:rPr>
              <w:t xml:space="preserve">- </w:t>
            </w:r>
            <w:r w:rsidRPr="00DE4C52">
              <w:rPr>
                <w:rFonts w:cs="DecimaWE-Regular"/>
              </w:rPr>
              <w:t>controllo del dolore</w:t>
            </w:r>
          </w:p>
          <w:p w:rsidR="005325AC" w:rsidRPr="00DE4C52" w:rsidRDefault="005325AC" w:rsidP="000D30D1">
            <w:pPr>
              <w:autoSpaceDE w:val="0"/>
              <w:autoSpaceDN w:val="0"/>
              <w:adjustRightInd w:val="0"/>
              <w:rPr>
                <w:rFonts w:cs="DecimaWE-Regular"/>
              </w:rPr>
            </w:pPr>
            <w:r w:rsidRPr="00DE4C52">
              <w:rPr>
                <w:rFonts w:cs="Courier New"/>
              </w:rPr>
              <w:t xml:space="preserve">- </w:t>
            </w:r>
            <w:r w:rsidRPr="00DE4C52">
              <w:rPr>
                <w:rFonts w:cs="DecimaWE-Regular"/>
              </w:rPr>
              <w:t>cadute</w:t>
            </w:r>
          </w:p>
          <w:p w:rsidR="005325AC" w:rsidRPr="00DE4C52" w:rsidRDefault="005325AC" w:rsidP="000D30D1">
            <w:pPr>
              <w:autoSpaceDE w:val="0"/>
              <w:autoSpaceDN w:val="0"/>
              <w:adjustRightInd w:val="0"/>
              <w:rPr>
                <w:rFonts w:cs="DecimaWE-Regular"/>
              </w:rPr>
            </w:pPr>
            <w:r w:rsidRPr="00DE4C52">
              <w:rPr>
                <w:rFonts w:cs="Courier New"/>
              </w:rPr>
              <w:t xml:space="preserve">- </w:t>
            </w:r>
            <w:r w:rsidRPr="00DE4C52">
              <w:rPr>
                <w:rFonts w:cs="DecimaWE-Regular"/>
              </w:rPr>
              <w:t>sicurezza nella documentazione sanitaria del percorso paziente</w:t>
            </w:r>
          </w:p>
          <w:p w:rsidR="005325AC" w:rsidRPr="00DE4C52" w:rsidRDefault="005325AC" w:rsidP="000D30D1">
            <w:pPr>
              <w:autoSpaceDE w:val="0"/>
              <w:autoSpaceDN w:val="0"/>
              <w:adjustRightInd w:val="0"/>
              <w:rPr>
                <w:rFonts w:cs="DecimaWE-Regular"/>
              </w:rPr>
            </w:pPr>
            <w:r w:rsidRPr="00DE4C52">
              <w:rPr>
                <w:rFonts w:cs="Courier New"/>
              </w:rPr>
              <w:t xml:space="preserve">- </w:t>
            </w:r>
            <w:proofErr w:type="spellStart"/>
            <w:r w:rsidRPr="00DE4C52">
              <w:rPr>
                <w:rFonts w:cs="DecimaWE-Regular"/>
              </w:rPr>
              <w:t>incident</w:t>
            </w:r>
            <w:proofErr w:type="spellEnd"/>
            <w:r w:rsidRPr="00DE4C52">
              <w:rPr>
                <w:rFonts w:cs="DecimaWE-Regular"/>
              </w:rPr>
              <w:t xml:space="preserve"> </w:t>
            </w:r>
            <w:proofErr w:type="spellStart"/>
            <w:r w:rsidRPr="00DE4C52">
              <w:rPr>
                <w:rFonts w:cs="DecimaWE-Regular"/>
              </w:rPr>
              <w:t>reporting</w:t>
            </w:r>
            <w:proofErr w:type="spellEnd"/>
          </w:p>
          <w:p w:rsidR="005325AC" w:rsidRPr="00DE4C52" w:rsidRDefault="005325AC" w:rsidP="000D30D1">
            <w:pPr>
              <w:autoSpaceDE w:val="0"/>
              <w:autoSpaceDN w:val="0"/>
              <w:adjustRightInd w:val="0"/>
              <w:rPr>
                <w:rFonts w:cs="DecimaWE-Regular"/>
              </w:rPr>
            </w:pPr>
            <w:r w:rsidRPr="00DE4C52">
              <w:rPr>
                <w:rFonts w:cs="Courier New"/>
              </w:rPr>
              <w:t xml:space="preserve">- </w:t>
            </w:r>
            <w:r w:rsidRPr="00DE4C52">
              <w:rPr>
                <w:rFonts w:cs="DecimaWE-Regular"/>
              </w:rPr>
              <w:t>identificazione paziente</w:t>
            </w:r>
          </w:p>
          <w:p w:rsidR="005325AC" w:rsidRPr="00DE4C52" w:rsidRDefault="005325AC" w:rsidP="000D30D1">
            <w:pPr>
              <w:autoSpaceDE w:val="0"/>
              <w:autoSpaceDN w:val="0"/>
              <w:adjustRightInd w:val="0"/>
              <w:rPr>
                <w:rFonts w:cs="DecimaWE-Regular"/>
              </w:rPr>
            </w:pPr>
            <w:r w:rsidRPr="00DE4C52">
              <w:rPr>
                <w:rFonts w:cs="Courier New"/>
              </w:rPr>
              <w:t xml:space="preserve">- </w:t>
            </w:r>
            <w:r w:rsidRPr="00DE4C52">
              <w:rPr>
                <w:rFonts w:cs="DecimaWE-Regular"/>
              </w:rPr>
              <w:t>sicurezza nell’uso del farmaco inclusa la preparazione di antiblastici</w:t>
            </w:r>
          </w:p>
          <w:p w:rsidR="005325AC" w:rsidRPr="00DE4C52" w:rsidRDefault="005325AC" w:rsidP="000D30D1">
            <w:pPr>
              <w:autoSpaceDE w:val="0"/>
              <w:autoSpaceDN w:val="0"/>
              <w:adjustRightInd w:val="0"/>
              <w:rPr>
                <w:rFonts w:cs="DecimaWE-Regular"/>
              </w:rPr>
            </w:pPr>
            <w:r w:rsidRPr="00DE4C52">
              <w:rPr>
                <w:rFonts w:cs="Courier New"/>
              </w:rPr>
              <w:t xml:space="preserve">- </w:t>
            </w:r>
            <w:r w:rsidRPr="00DE4C52">
              <w:rPr>
                <w:rFonts w:cs="DecimaWE-Regular"/>
              </w:rPr>
              <w:t>sicurezza del percorso operatorio</w:t>
            </w:r>
          </w:p>
          <w:p w:rsidR="005325AC" w:rsidRPr="00DE4C52" w:rsidRDefault="005325AC" w:rsidP="000D30D1">
            <w:pPr>
              <w:autoSpaceDE w:val="0"/>
              <w:autoSpaceDN w:val="0"/>
              <w:adjustRightInd w:val="0"/>
              <w:rPr>
                <w:rFonts w:cs="DecimaWE-Regular"/>
              </w:rPr>
            </w:pPr>
            <w:r w:rsidRPr="00DE4C52">
              <w:rPr>
                <w:rFonts w:cs="Cambria"/>
              </w:rPr>
              <w:t xml:space="preserve">3.  </w:t>
            </w:r>
            <w:r w:rsidRPr="00DE4C52">
              <w:rPr>
                <w:rFonts w:cs="DecimaWE-Regular"/>
              </w:rPr>
              <w:t>partecipazione ai programmi nazionali sul rischio clinico;</w:t>
            </w:r>
          </w:p>
          <w:p w:rsidR="005325AC" w:rsidRPr="00DE4C52" w:rsidRDefault="005325AC" w:rsidP="000D30D1">
            <w:pPr>
              <w:autoSpaceDE w:val="0"/>
              <w:autoSpaceDN w:val="0"/>
              <w:adjustRightInd w:val="0"/>
              <w:rPr>
                <w:rFonts w:cs="DecimaWE-Regular"/>
              </w:rPr>
            </w:pPr>
            <w:r w:rsidRPr="00DE4C52">
              <w:rPr>
                <w:rFonts w:cs="Cambria"/>
              </w:rPr>
              <w:t xml:space="preserve">4. </w:t>
            </w:r>
            <w:r w:rsidRPr="00DE4C52">
              <w:rPr>
                <w:rFonts w:cs="DecimaWE-Regular"/>
              </w:rPr>
              <w:t>sviluppo, adozione e diffusione degli strumenti per l’</w:t>
            </w:r>
            <w:proofErr w:type="spellStart"/>
            <w:r w:rsidRPr="00DE4C52">
              <w:rPr>
                <w:rFonts w:cs="DecimaWE-Regular"/>
              </w:rPr>
              <w:t>empowerment</w:t>
            </w:r>
            <w:proofErr w:type="spellEnd"/>
            <w:r w:rsidRPr="00DE4C52">
              <w:rPr>
                <w:rFonts w:cs="DecimaWE-Regular"/>
              </w:rPr>
              <w:t xml:space="preserve"> di cittadini e pazienti sulle tematiche del rischio;</w:t>
            </w:r>
          </w:p>
          <w:p w:rsidR="005325AC" w:rsidRPr="00DE4C52" w:rsidRDefault="005325AC" w:rsidP="000D30D1">
            <w:pPr>
              <w:autoSpaceDE w:val="0"/>
              <w:autoSpaceDN w:val="0"/>
              <w:adjustRightInd w:val="0"/>
              <w:rPr>
                <w:rFonts w:cs="DecimaWE-Regular"/>
              </w:rPr>
            </w:pPr>
            <w:r w:rsidRPr="00DE4C52">
              <w:rPr>
                <w:rFonts w:cs="Cambria"/>
              </w:rPr>
              <w:t xml:space="preserve">5. </w:t>
            </w:r>
            <w:r w:rsidRPr="00DE4C52">
              <w:rPr>
                <w:rFonts w:cs="DecimaWE-Regular"/>
              </w:rPr>
              <w:t>coordinamento dei programmi con le altre linee di lavoro regionali con la finalità di garantire gli stessi standard di sicurezza in tutti i livelli assistenziali erogati dal SSR</w:t>
            </w:r>
          </w:p>
          <w:p w:rsidR="005325AC" w:rsidRPr="0030525A" w:rsidRDefault="005325AC" w:rsidP="000D30D1">
            <w:pPr>
              <w:jc w:val="both"/>
              <w:rPr>
                <w:rFonts w:cs="DecimaWE-Regular"/>
              </w:rPr>
            </w:pPr>
            <w:r w:rsidRPr="00DE4C52">
              <w:rPr>
                <w:rFonts w:cs="Cambria"/>
              </w:rPr>
              <w:t xml:space="preserve">6. </w:t>
            </w:r>
            <w:r w:rsidRPr="00DE4C52">
              <w:rPr>
                <w:rFonts w:cs="DecimaWE-Regular"/>
              </w:rPr>
              <w:t>pubblicizzazione delle performance.</w:t>
            </w:r>
          </w:p>
        </w:tc>
      </w:tr>
      <w:tr w:rsidR="005325AC" w:rsidRPr="0030525A" w:rsidTr="000D30D1">
        <w:trPr>
          <w:jc w:val="center"/>
        </w:trPr>
        <w:tc>
          <w:tcPr>
            <w:tcW w:w="985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325AC" w:rsidRPr="00DE4C52" w:rsidRDefault="005325AC" w:rsidP="000D30D1">
            <w:pPr>
              <w:jc w:val="both"/>
              <w:outlineLvl w:val="0"/>
              <w:rPr>
                <w:rFonts w:eastAsia="MS Mincho" w:cs="Calibri"/>
                <w:b/>
              </w:rPr>
            </w:pPr>
            <w:r w:rsidRPr="00DE4C52">
              <w:rPr>
                <w:rFonts w:eastAsia="MS Mincho" w:cs="Calibri"/>
                <w:b/>
              </w:rPr>
              <w:lastRenderedPageBreak/>
              <w:t>Attuazione al 31.12.2015</w:t>
            </w:r>
          </w:p>
          <w:p w:rsidR="005325AC" w:rsidRPr="00DE4C52" w:rsidRDefault="005325AC" w:rsidP="000D30D1">
            <w:pPr>
              <w:jc w:val="both"/>
              <w:rPr>
                <w:color w:val="FF0000"/>
              </w:rPr>
            </w:pPr>
            <w:r w:rsidRPr="00DE4C52">
              <w:t xml:space="preserve">1. </w:t>
            </w:r>
            <w:r w:rsidRPr="00DE4C52">
              <w:rPr>
                <w:bCs/>
              </w:rPr>
              <w:t>Il report relativo al primo semestre 2015 è stato trasmesso in data 7 settembre 2015 (</w:t>
            </w:r>
            <w:proofErr w:type="spellStart"/>
            <w:r w:rsidRPr="00DE4C52">
              <w:rPr>
                <w:bCs/>
              </w:rPr>
              <w:t>prot</w:t>
            </w:r>
            <w:proofErr w:type="spellEnd"/>
            <w:r w:rsidRPr="00DE4C52">
              <w:rPr>
                <w:bCs/>
              </w:rPr>
              <w:t>. n. 14850/</w:t>
            </w:r>
            <w:r>
              <w:rPr>
                <w:bCs/>
              </w:rPr>
              <w:t>DG</w:t>
            </w:r>
            <w:r w:rsidRPr="00DE4C52">
              <w:rPr>
                <w:bCs/>
              </w:rPr>
              <w:t>). Il report relativo al  secondo semestre 2015 è stato trasmesso in data 30 marzo 2016 (</w:t>
            </w:r>
            <w:proofErr w:type="spellStart"/>
            <w:r w:rsidRPr="00DE4C52">
              <w:rPr>
                <w:bCs/>
              </w:rPr>
              <w:t>prot</w:t>
            </w:r>
            <w:proofErr w:type="spellEnd"/>
            <w:r w:rsidRPr="00DE4C52">
              <w:rPr>
                <w:bCs/>
              </w:rPr>
              <w:t>. n</w:t>
            </w:r>
            <w:r>
              <w:rPr>
                <w:bCs/>
              </w:rPr>
              <w:t xml:space="preserve">. </w:t>
            </w:r>
            <w:r w:rsidRPr="00DE4C52">
              <w:rPr>
                <w:bCs/>
              </w:rPr>
              <w:t>5380/D)</w:t>
            </w:r>
          </w:p>
          <w:p w:rsidR="005325AC" w:rsidRPr="00DE4C52" w:rsidRDefault="005325AC" w:rsidP="000D30D1">
            <w:pPr>
              <w:jc w:val="both"/>
            </w:pPr>
            <w:r w:rsidRPr="00DE4C52">
              <w:t xml:space="preserve">2. In accordo con quanto previsto dal programma regionale del rischio clinico sono state diffusi, messi a regime e monitorati raccomandazioni ministeriali e/o programmi relativi al rischio infettivo (es. </w:t>
            </w:r>
            <w:proofErr w:type="spellStart"/>
            <w:r w:rsidRPr="00DE4C52">
              <w:t>Antimicrobial</w:t>
            </w:r>
            <w:proofErr w:type="spellEnd"/>
            <w:r w:rsidRPr="00DE4C52">
              <w:t xml:space="preserve"> </w:t>
            </w:r>
            <w:proofErr w:type="spellStart"/>
            <w:r w:rsidRPr="00DE4C52">
              <w:t>Stewardship</w:t>
            </w:r>
            <w:proofErr w:type="spellEnd"/>
            <w:r w:rsidRPr="00DE4C52">
              <w:t xml:space="preserve">), lesioni da pressione, cadute, controllo del dolore, sicurezza della documentazione sanitaria, </w:t>
            </w:r>
            <w:proofErr w:type="spellStart"/>
            <w:r w:rsidRPr="00DE4C52">
              <w:t>incident</w:t>
            </w:r>
            <w:proofErr w:type="spellEnd"/>
            <w:r w:rsidRPr="00DE4C52">
              <w:t xml:space="preserve"> </w:t>
            </w:r>
            <w:proofErr w:type="spellStart"/>
            <w:r w:rsidRPr="00DE4C52">
              <w:t>reporting</w:t>
            </w:r>
            <w:proofErr w:type="spellEnd"/>
            <w:r w:rsidRPr="00DE4C52">
              <w:t xml:space="preserve">, sicurezza nell’uso dei farmaci inclusa la preparazione di antiblastici (vedi </w:t>
            </w:r>
            <w:proofErr w:type="spellStart"/>
            <w:r w:rsidRPr="00DE4C52">
              <w:t>check</w:t>
            </w:r>
            <w:proofErr w:type="spellEnd"/>
            <w:r w:rsidRPr="00DE4C52">
              <w:t xml:space="preserve"> </w:t>
            </w:r>
            <w:proofErr w:type="spellStart"/>
            <w:r w:rsidRPr="00DE4C52">
              <w:t>list</w:t>
            </w:r>
            <w:proofErr w:type="spellEnd"/>
            <w:r w:rsidRPr="00DE4C52">
              <w:t xml:space="preserve"> rilevazione UFA e indicazioni esperti per il tavolo di confronto), identificazione del paziente, sicurezza del percorso operatorio.</w:t>
            </w:r>
          </w:p>
          <w:p w:rsidR="005325AC" w:rsidRPr="00DE4C52" w:rsidRDefault="005325AC" w:rsidP="000D30D1">
            <w:r w:rsidRPr="00DE4C52">
              <w:t xml:space="preserve">3. Partecipazione alla rilevazione del programma PPS (Point </w:t>
            </w:r>
            <w:proofErr w:type="spellStart"/>
            <w:r w:rsidRPr="00DE4C52">
              <w:t>Prevalence</w:t>
            </w:r>
            <w:proofErr w:type="spellEnd"/>
            <w:r w:rsidRPr="00DE4C52">
              <w:t xml:space="preserve"> </w:t>
            </w:r>
            <w:proofErr w:type="spellStart"/>
            <w:r w:rsidRPr="00DE4C52">
              <w:t>Survey</w:t>
            </w:r>
            <w:proofErr w:type="spellEnd"/>
            <w:r w:rsidRPr="00DE4C52">
              <w:t xml:space="preserve">) delle infezioni e dell’uso di antibiotici negli ospedali condotta nel mese di ottobre 2015. </w:t>
            </w:r>
          </w:p>
          <w:p w:rsidR="005325AC" w:rsidRPr="00DE4C52" w:rsidRDefault="005325AC" w:rsidP="000D30D1">
            <w:pPr>
              <w:jc w:val="both"/>
            </w:pPr>
            <w:r w:rsidRPr="00DE4C52">
              <w:t xml:space="preserve">4. </w:t>
            </w:r>
            <w:r>
              <w:t>Partecipazione</w:t>
            </w:r>
            <w:r w:rsidRPr="00DE4C52">
              <w:t xml:space="preserve"> allo sviluppo, adozione e diffusione di strumenti di </w:t>
            </w:r>
            <w:proofErr w:type="spellStart"/>
            <w:r w:rsidRPr="00DE4C52">
              <w:t>empowerment</w:t>
            </w:r>
            <w:proofErr w:type="spellEnd"/>
            <w:r w:rsidRPr="00DE4C52">
              <w:t xml:space="preserve"> di  cittadini e pazienti </w:t>
            </w:r>
            <w:r w:rsidRPr="00DE4C52">
              <w:lastRenderedPageBreak/>
              <w:t xml:space="preserve">sulle tematiche del rischio (vedi contributi con propri operatori alla realizzazione del programma </w:t>
            </w:r>
            <w:proofErr w:type="spellStart"/>
            <w:r w:rsidRPr="00DE4C52">
              <w:t>handbook</w:t>
            </w:r>
            <w:proofErr w:type="spellEnd"/>
            <w:r w:rsidRPr="00DE4C52">
              <w:t xml:space="preserve">) </w:t>
            </w:r>
          </w:p>
          <w:p w:rsidR="005325AC" w:rsidRPr="00DE4C52" w:rsidRDefault="005325AC" w:rsidP="000D30D1">
            <w:pPr>
              <w:jc w:val="both"/>
              <w:rPr>
                <w:bCs/>
                <w:color w:val="FF0000"/>
              </w:rPr>
            </w:pPr>
            <w:r w:rsidRPr="00DE4C52">
              <w:t xml:space="preserve">5. </w:t>
            </w:r>
            <w:r w:rsidRPr="00DE4C52">
              <w:rPr>
                <w:bCs/>
              </w:rPr>
              <w:t>Partecipazione con propri esperti al gruppo regionale per la Sicurezza del paziente ed il rischio clinico nel quale sono rappresentati i diversi livelli assistenziali regionali al fine di garantire il coordinamento dei programmi e gli stessi standard di sicurezza.</w:t>
            </w:r>
          </w:p>
          <w:p w:rsidR="005325AC" w:rsidRPr="0030525A" w:rsidRDefault="005325AC" w:rsidP="000D30D1">
            <w:pPr>
              <w:rPr>
                <w:rFonts w:cstheme="minorHAnsi"/>
                <w:b/>
                <w:bCs/>
              </w:rPr>
            </w:pPr>
            <w:r w:rsidRPr="00DE4C52">
              <w:t xml:space="preserve">6. Sul tema non vi sono state ulteriori indicazioni nel corso dell’anno </w:t>
            </w:r>
            <w:r w:rsidRPr="00DE4C52">
              <w:rPr>
                <w:bCs/>
              </w:rPr>
              <w:t xml:space="preserve"> da parte del coordinamento regionale del governo e rischio clinico.</w:t>
            </w:r>
          </w:p>
        </w:tc>
      </w:tr>
      <w:tr w:rsidR="005325AC" w:rsidRPr="00B5088B" w:rsidTr="000D3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194"/>
          <w:jc w:val="center"/>
        </w:trPr>
        <w:tc>
          <w:tcPr>
            <w:tcW w:w="98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5325AC" w:rsidRPr="00B5088B" w:rsidRDefault="005325AC" w:rsidP="000D30D1">
            <w:pPr>
              <w:jc w:val="both"/>
              <w:rPr>
                <w:rFonts w:eastAsia="MS Mincho"/>
              </w:rPr>
            </w:pPr>
            <w:r w:rsidRPr="00B5088B">
              <w:rPr>
                <w:rFonts w:cs="DecimaWE Rg"/>
                <w:b/>
                <w:bCs/>
              </w:rPr>
              <w:lastRenderedPageBreak/>
              <w:t xml:space="preserve">Linea </w:t>
            </w:r>
            <w:r w:rsidRPr="00B5088B">
              <w:rPr>
                <w:rFonts w:cs="DecimaWERg"/>
                <w:b/>
              </w:rPr>
              <w:t>progettuale</w:t>
            </w:r>
            <w:r w:rsidRPr="00B5088B">
              <w:rPr>
                <w:rFonts w:cs="DecimaWE Rg"/>
                <w:b/>
                <w:bCs/>
              </w:rPr>
              <w:t xml:space="preserve"> n. 3.4.9 Qualità e appropriatezza nell’erogazione delle cure</w:t>
            </w:r>
          </w:p>
        </w:tc>
      </w:tr>
      <w:tr w:rsidR="005325AC" w:rsidRPr="00B5088B" w:rsidTr="000D3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trHeight w:val="720"/>
          <w:jc w:val="center"/>
        </w:trPr>
        <w:tc>
          <w:tcPr>
            <w:tcW w:w="4533" w:type="dxa"/>
            <w:tcBorders>
              <w:top w:val="single" w:sz="4" w:space="0" w:color="auto"/>
              <w:left w:val="single" w:sz="4" w:space="0" w:color="auto"/>
              <w:bottom w:val="single" w:sz="4" w:space="0" w:color="auto"/>
              <w:right w:val="single" w:sz="8" w:space="0" w:color="000000"/>
            </w:tcBorders>
            <w:shd w:val="clear" w:color="000000" w:fill="E6E6E6"/>
          </w:tcPr>
          <w:p w:rsidR="005325AC" w:rsidRPr="00B5088B" w:rsidRDefault="005325AC" w:rsidP="000D30D1">
            <w:pPr>
              <w:pStyle w:val="Corpodeltesto"/>
              <w:spacing w:after="0"/>
              <w:jc w:val="both"/>
              <w:rPr>
                <w:rFonts w:cs="DecimaWE Rg"/>
                <w:b/>
              </w:rPr>
            </w:pPr>
            <w:r w:rsidRPr="00B5088B">
              <w:rPr>
                <w:rFonts w:cs="DecimaWE Rg"/>
                <w:b/>
              </w:rPr>
              <w:t>Obiettivo aziendale</w:t>
            </w:r>
          </w:p>
          <w:p w:rsidR="005325AC" w:rsidRPr="00227DC3" w:rsidRDefault="005325AC" w:rsidP="000D30D1">
            <w:pPr>
              <w:pStyle w:val="Corpodeltesto"/>
              <w:spacing w:after="0"/>
              <w:rPr>
                <w:rFonts w:cs="DecimaWE Rg"/>
              </w:rPr>
            </w:pPr>
            <w:r w:rsidRPr="00227DC3">
              <w:t>Contrasto all’</w:t>
            </w:r>
            <w:proofErr w:type="spellStart"/>
            <w:r w:rsidRPr="00227DC3">
              <w:t>inappropriatezza</w:t>
            </w:r>
            <w:proofErr w:type="spellEnd"/>
            <w:r w:rsidRPr="00227DC3">
              <w:t xml:space="preserve"> e alla sovra-diagnosi</w:t>
            </w:r>
          </w:p>
        </w:tc>
        <w:tc>
          <w:tcPr>
            <w:tcW w:w="5321" w:type="dxa"/>
            <w:tcBorders>
              <w:top w:val="single" w:sz="4" w:space="0" w:color="auto"/>
              <w:left w:val="single" w:sz="8" w:space="0" w:color="auto"/>
              <w:bottom w:val="single" w:sz="4" w:space="0" w:color="auto"/>
              <w:right w:val="single" w:sz="4" w:space="0" w:color="auto"/>
            </w:tcBorders>
            <w:shd w:val="clear" w:color="000000" w:fill="E6E6E6"/>
          </w:tcPr>
          <w:p w:rsidR="005325AC" w:rsidRPr="00B5088B" w:rsidRDefault="005325AC" w:rsidP="000D30D1">
            <w:pPr>
              <w:pStyle w:val="Corpodeltesto"/>
              <w:spacing w:after="0"/>
              <w:jc w:val="both"/>
              <w:rPr>
                <w:rFonts w:cs="DecimaWE Rg"/>
                <w:b/>
              </w:rPr>
            </w:pPr>
            <w:r w:rsidRPr="00B5088B">
              <w:rPr>
                <w:rFonts w:cs="DecimaWE Rg"/>
                <w:b/>
              </w:rPr>
              <w:t>Risultato atteso</w:t>
            </w:r>
          </w:p>
          <w:p w:rsidR="005325AC" w:rsidRPr="00227DC3" w:rsidRDefault="005325AC" w:rsidP="000D30D1">
            <w:pPr>
              <w:pStyle w:val="Corpodeltesto"/>
              <w:spacing w:after="0"/>
              <w:ind w:left="82"/>
              <w:jc w:val="both"/>
              <w:rPr>
                <w:rFonts w:cs="DecimaWE Rg"/>
              </w:rPr>
            </w:pPr>
            <w:r w:rsidRPr="00227DC3">
              <w:t xml:space="preserve">Evidenza di alcuni interventi da prescrivere con maggiore prudenza coerentemente al programma internazionale di </w:t>
            </w:r>
            <w:proofErr w:type="spellStart"/>
            <w:r w:rsidRPr="00227DC3">
              <w:t>choosing</w:t>
            </w:r>
            <w:proofErr w:type="spellEnd"/>
            <w:r w:rsidRPr="00227DC3">
              <w:t xml:space="preserve"> </w:t>
            </w:r>
            <w:proofErr w:type="spellStart"/>
            <w:r w:rsidRPr="00227DC3">
              <w:t>wisely</w:t>
            </w:r>
            <w:proofErr w:type="spellEnd"/>
            <w:r w:rsidRPr="00227DC3">
              <w:t xml:space="preserve"> tra quelli proposti dal livello regionale.</w:t>
            </w:r>
          </w:p>
        </w:tc>
      </w:tr>
      <w:tr w:rsidR="005325AC" w:rsidRPr="0030525A" w:rsidTr="000D30D1">
        <w:trPr>
          <w:jc w:val="center"/>
        </w:trPr>
        <w:tc>
          <w:tcPr>
            <w:tcW w:w="985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325AC" w:rsidRPr="00B5088B" w:rsidRDefault="005325AC" w:rsidP="000D30D1">
            <w:pPr>
              <w:jc w:val="both"/>
              <w:outlineLvl w:val="0"/>
              <w:rPr>
                <w:rFonts w:eastAsia="MS Mincho" w:cs="Calibri"/>
                <w:b/>
              </w:rPr>
            </w:pPr>
            <w:r w:rsidRPr="00B5088B">
              <w:rPr>
                <w:rFonts w:eastAsia="MS Mincho" w:cs="Calibri"/>
                <w:b/>
              </w:rPr>
              <w:t>Attuazione al 31.12.2015</w:t>
            </w:r>
          </w:p>
          <w:p w:rsidR="005325AC" w:rsidRPr="00B5088B" w:rsidRDefault="005325AC" w:rsidP="000D30D1">
            <w:pPr>
              <w:jc w:val="both"/>
              <w:outlineLvl w:val="0"/>
              <w:rPr>
                <w:b/>
              </w:rPr>
            </w:pPr>
            <w:r w:rsidRPr="00B5088B">
              <w:rPr>
                <w:u w:val="single"/>
              </w:rPr>
              <w:t>Antibiotici per infezioni delle vie aeree superiori</w:t>
            </w:r>
            <w:r w:rsidRPr="00B5088B">
              <w:t xml:space="preserve">. Azioni di contrasto: 1) partecipazione con propri esperti alla redazione delle LLGG regionali per la gestione delle Polmoniti batteriche; 2) avvio del programma aziendale (in coerenza con il mandato regionale) di </w:t>
            </w:r>
            <w:proofErr w:type="spellStart"/>
            <w:r w:rsidRPr="00B5088B">
              <w:t>Antimicrobial</w:t>
            </w:r>
            <w:proofErr w:type="spellEnd"/>
            <w:r w:rsidRPr="00B5088B">
              <w:t xml:space="preserve"> </w:t>
            </w:r>
            <w:proofErr w:type="spellStart"/>
            <w:r w:rsidRPr="00B5088B">
              <w:t>Stewardship</w:t>
            </w:r>
            <w:proofErr w:type="spellEnd"/>
          </w:p>
          <w:p w:rsidR="005325AC" w:rsidRPr="006D7BDD" w:rsidRDefault="005325AC" w:rsidP="000D30D1">
            <w:pPr>
              <w:jc w:val="both"/>
              <w:outlineLvl w:val="0"/>
              <w:rPr>
                <w:rFonts w:cstheme="minorHAnsi"/>
                <w:bCs/>
              </w:rPr>
            </w:pPr>
            <w:r w:rsidRPr="00B5088B">
              <w:rPr>
                <w:u w:val="single"/>
              </w:rPr>
              <w:t>Posizionamento del catetere vescicale</w:t>
            </w:r>
            <w:r w:rsidRPr="00B5088B">
              <w:t>. Azioni di contrasto: 1) Corso di formazione per la diffusione delle linee guida regionali per la prevenzione e controllo delle infezioni delle vie urinarie e uso del catetere vescicale. 2) revisione del protocollo aziendale per l’uso del catetere vescicale. 3) revisione ed aggiornamento del bundle posizionamento e gestione del catetere vescicale.</w:t>
            </w:r>
          </w:p>
        </w:tc>
      </w:tr>
      <w:tr w:rsidR="005325AC" w:rsidRPr="00441619" w:rsidTr="000D3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194"/>
          <w:jc w:val="center"/>
        </w:trPr>
        <w:tc>
          <w:tcPr>
            <w:tcW w:w="98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5325AC" w:rsidRPr="00441619" w:rsidRDefault="005325AC" w:rsidP="000D30D1">
            <w:pPr>
              <w:jc w:val="both"/>
              <w:rPr>
                <w:rFonts w:eastAsia="MS Mincho"/>
              </w:rPr>
            </w:pPr>
            <w:r w:rsidRPr="00441619">
              <w:rPr>
                <w:rFonts w:cs="DecimaWE Rg"/>
                <w:b/>
                <w:bCs/>
              </w:rPr>
              <w:t xml:space="preserve">Linea </w:t>
            </w:r>
            <w:r w:rsidRPr="00441619">
              <w:rPr>
                <w:rFonts w:cs="DecimaWERg"/>
                <w:b/>
              </w:rPr>
              <w:t>progettuale</w:t>
            </w:r>
            <w:r w:rsidRPr="00441619">
              <w:rPr>
                <w:rFonts w:cs="DecimaWE Rg"/>
                <w:b/>
                <w:bCs/>
              </w:rPr>
              <w:t xml:space="preserve"> n. 3.5 Assistenza farmaceutica</w:t>
            </w:r>
          </w:p>
        </w:tc>
      </w:tr>
      <w:tr w:rsidR="005325AC" w:rsidRPr="000C564F" w:rsidTr="000D3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trHeight w:val="720"/>
          <w:jc w:val="center"/>
        </w:trPr>
        <w:tc>
          <w:tcPr>
            <w:tcW w:w="4533" w:type="dxa"/>
            <w:tcBorders>
              <w:top w:val="single" w:sz="4" w:space="0" w:color="auto"/>
              <w:left w:val="single" w:sz="4" w:space="0" w:color="auto"/>
              <w:bottom w:val="single" w:sz="4" w:space="0" w:color="auto"/>
              <w:right w:val="single" w:sz="8" w:space="0" w:color="000000"/>
            </w:tcBorders>
            <w:shd w:val="clear" w:color="000000" w:fill="E6E6E6"/>
          </w:tcPr>
          <w:p w:rsidR="005325AC" w:rsidRPr="00441619" w:rsidRDefault="005325AC" w:rsidP="000D30D1">
            <w:pPr>
              <w:pStyle w:val="Corpodeltesto"/>
              <w:spacing w:after="0"/>
              <w:jc w:val="both"/>
              <w:rPr>
                <w:rFonts w:cs="DecimaWE Rg"/>
                <w:b/>
              </w:rPr>
            </w:pPr>
            <w:r w:rsidRPr="00441619">
              <w:rPr>
                <w:rFonts w:cs="DecimaWE Rg"/>
                <w:b/>
              </w:rPr>
              <w:t>Obiettivo aziendale</w:t>
            </w:r>
          </w:p>
          <w:p w:rsidR="005325AC" w:rsidRPr="00441619" w:rsidRDefault="005325AC" w:rsidP="000D30D1">
            <w:pPr>
              <w:pStyle w:val="Corpodeltesto"/>
              <w:spacing w:after="0"/>
              <w:rPr>
                <w:rFonts w:cs="DecimaWE Rg"/>
              </w:rPr>
            </w:pPr>
            <w:r w:rsidRPr="00441619">
              <w:rPr>
                <w:rFonts w:cs="DecimaWE Rg"/>
              </w:rPr>
              <w:t xml:space="preserve">Contenimento della spesa farmaceutica territoriale e appropriatezza prescrittiva e assistenza integrativa </w:t>
            </w:r>
          </w:p>
          <w:p w:rsidR="005325AC" w:rsidRPr="00441619" w:rsidRDefault="005325AC" w:rsidP="000D30D1">
            <w:pPr>
              <w:pStyle w:val="Corpodeltesto"/>
              <w:spacing w:after="0"/>
              <w:rPr>
                <w:rFonts w:cs="DecimaWE Rg"/>
              </w:rPr>
            </w:pPr>
          </w:p>
        </w:tc>
        <w:tc>
          <w:tcPr>
            <w:tcW w:w="5321" w:type="dxa"/>
            <w:tcBorders>
              <w:top w:val="single" w:sz="4" w:space="0" w:color="auto"/>
              <w:left w:val="single" w:sz="8" w:space="0" w:color="auto"/>
              <w:bottom w:val="single" w:sz="4" w:space="0" w:color="auto"/>
              <w:right w:val="single" w:sz="4" w:space="0" w:color="auto"/>
            </w:tcBorders>
            <w:shd w:val="clear" w:color="000000" w:fill="E6E6E6"/>
          </w:tcPr>
          <w:p w:rsidR="005325AC" w:rsidRPr="00441619" w:rsidRDefault="005325AC" w:rsidP="000D30D1">
            <w:pPr>
              <w:pStyle w:val="Corpodeltesto"/>
              <w:spacing w:after="0"/>
              <w:jc w:val="both"/>
              <w:rPr>
                <w:rFonts w:cs="DecimaWE Rg"/>
                <w:b/>
              </w:rPr>
            </w:pPr>
            <w:r w:rsidRPr="00441619">
              <w:rPr>
                <w:rFonts w:cs="DecimaWE Rg"/>
                <w:b/>
              </w:rPr>
              <w:t>Risultato atteso</w:t>
            </w:r>
          </w:p>
          <w:p w:rsidR="005325AC" w:rsidRPr="00441619" w:rsidRDefault="005325AC" w:rsidP="000D30D1">
            <w:pPr>
              <w:pStyle w:val="Corpodeltesto"/>
              <w:spacing w:after="0"/>
              <w:ind w:left="82"/>
              <w:jc w:val="both"/>
              <w:rPr>
                <w:rFonts w:cs="DecimaWE Rg"/>
              </w:rPr>
            </w:pPr>
            <w:r w:rsidRPr="00441619">
              <w:rPr>
                <w:rFonts w:cs="DecimaWE Rg"/>
              </w:rPr>
              <w:t xml:space="preserve">1.Prescrizioni di </w:t>
            </w:r>
            <w:proofErr w:type="spellStart"/>
            <w:r w:rsidRPr="00441619">
              <w:rPr>
                <w:rFonts w:cs="DecimaWE Rg"/>
              </w:rPr>
              <w:t>biosimilari</w:t>
            </w:r>
            <w:proofErr w:type="spellEnd"/>
            <w:r w:rsidRPr="00441619">
              <w:rPr>
                <w:rFonts w:cs="DecimaWE Rg"/>
              </w:rPr>
              <w:t xml:space="preserve"> (con particolare riferimento a </w:t>
            </w:r>
            <w:proofErr w:type="spellStart"/>
            <w:r w:rsidRPr="00441619">
              <w:rPr>
                <w:rFonts w:cs="DecimaWE Rg"/>
              </w:rPr>
              <w:t>epoietine</w:t>
            </w:r>
            <w:proofErr w:type="spellEnd"/>
            <w:r w:rsidRPr="00441619">
              <w:rPr>
                <w:rFonts w:cs="DecimaWE Rg"/>
              </w:rPr>
              <w:t xml:space="preserve">, fattori di crescita </w:t>
            </w:r>
            <w:proofErr w:type="spellStart"/>
            <w:r w:rsidRPr="00441619">
              <w:rPr>
                <w:rFonts w:cs="DecimaWE Rg"/>
              </w:rPr>
              <w:t>granulocitari</w:t>
            </w:r>
            <w:proofErr w:type="spellEnd"/>
            <w:r w:rsidRPr="00441619">
              <w:rPr>
                <w:rFonts w:cs="DecimaWE Rg"/>
              </w:rPr>
              <w:t xml:space="preserve">): 80% delle dosi utilizzate e distribuite appartengono a farmaci aggiudicati in gara regionale come alternativa </w:t>
            </w:r>
            <w:proofErr w:type="spellStart"/>
            <w:r w:rsidRPr="00441619">
              <w:rPr>
                <w:rFonts w:cs="DecimaWE Rg"/>
              </w:rPr>
              <w:t>biosimilare</w:t>
            </w:r>
            <w:proofErr w:type="spellEnd"/>
          </w:p>
          <w:p w:rsidR="005325AC" w:rsidRPr="00441619" w:rsidRDefault="005325AC" w:rsidP="000D30D1">
            <w:pPr>
              <w:pStyle w:val="Corpodeltesto"/>
              <w:spacing w:after="0"/>
              <w:ind w:left="82"/>
              <w:jc w:val="both"/>
              <w:rPr>
                <w:rFonts w:cs="DecimaWE Rg"/>
              </w:rPr>
            </w:pPr>
            <w:r w:rsidRPr="00441619">
              <w:rPr>
                <w:rFonts w:cs="DecimaWE Rg"/>
              </w:rPr>
              <w:t xml:space="preserve">2. analisi delle prescrizioni per singolo </w:t>
            </w:r>
            <w:proofErr w:type="spellStart"/>
            <w:r w:rsidRPr="00441619">
              <w:rPr>
                <w:rFonts w:cs="DecimaWE Rg"/>
              </w:rPr>
              <w:t>prescrittore</w:t>
            </w:r>
            <w:proofErr w:type="spellEnd"/>
            <w:r w:rsidRPr="00441619">
              <w:rPr>
                <w:rFonts w:cs="DecimaWE Rg"/>
              </w:rPr>
              <w:t xml:space="preserve"> secondo prescrizioni PSM e su report prodotto AAS5 evidenziano che i valori dei farmaci generici o </w:t>
            </w:r>
            <w:proofErr w:type="spellStart"/>
            <w:r w:rsidRPr="00441619">
              <w:rPr>
                <w:rFonts w:cs="DecimaWE Rg"/>
              </w:rPr>
              <w:t>biosimilari</w:t>
            </w:r>
            <w:proofErr w:type="spellEnd"/>
            <w:r w:rsidRPr="00441619">
              <w:rPr>
                <w:rFonts w:cs="DecimaWE Rg"/>
              </w:rPr>
              <w:t xml:space="preserve"> superano l’80% del totale della prescrizione nella stessa classe ATC</w:t>
            </w:r>
          </w:p>
          <w:p w:rsidR="005325AC" w:rsidRPr="00441619" w:rsidRDefault="005325AC" w:rsidP="000D30D1">
            <w:pPr>
              <w:pStyle w:val="Corpodeltesto"/>
              <w:spacing w:after="0"/>
              <w:ind w:left="82"/>
              <w:jc w:val="both"/>
              <w:rPr>
                <w:rFonts w:cs="DecimaWE Rg"/>
              </w:rPr>
            </w:pPr>
            <w:r w:rsidRPr="00441619">
              <w:rPr>
                <w:rFonts w:cs="DecimaWE Rg"/>
              </w:rPr>
              <w:t xml:space="preserve">3. prescrizioni dei medicinali a brevetto scaduto, con particolare riferimento alle classi terapeutiche individuate dagli indicatori AIFA-MEF presenti sul sistema Tessera sanitaria (TS): tendere ai valori target nazionali. Verrà inoltre valutata l’appropriatezza d’uso delle categorie di farmaci a maggior impatto di spesa e rischio di </w:t>
            </w:r>
            <w:proofErr w:type="spellStart"/>
            <w:r w:rsidRPr="00441619">
              <w:rPr>
                <w:rFonts w:cs="DecimaWE Rg"/>
              </w:rPr>
              <w:t>inappropriatezza</w:t>
            </w:r>
            <w:proofErr w:type="spellEnd"/>
            <w:r w:rsidRPr="00441619">
              <w:rPr>
                <w:rFonts w:cs="DecimaWE Rg"/>
              </w:rPr>
              <w:t xml:space="preserve"> quali ad esempio: inibitori di pompa protonica, antibiotici e farmaci per i disturbi </w:t>
            </w:r>
            <w:r w:rsidRPr="00441619">
              <w:rPr>
                <w:rFonts w:cs="DecimaWE Rg"/>
              </w:rPr>
              <w:lastRenderedPageBreak/>
              <w:t>ostruttivi dell’apparato respiratorio favorendo i medicinali con il miglior rapporto di costo efficacia</w:t>
            </w:r>
          </w:p>
          <w:p w:rsidR="005325AC" w:rsidRPr="00441619" w:rsidRDefault="005325AC" w:rsidP="000D30D1">
            <w:pPr>
              <w:pStyle w:val="Corpodeltesto"/>
              <w:spacing w:after="0"/>
              <w:ind w:left="82"/>
              <w:jc w:val="both"/>
              <w:rPr>
                <w:rFonts w:cs="DecimaWE Rg"/>
              </w:rPr>
            </w:pPr>
            <w:r w:rsidRPr="00441619">
              <w:rPr>
                <w:rFonts w:cs="DecimaWE Rg"/>
              </w:rPr>
              <w:t xml:space="preserve">4. prosecuzione delle iniziative volte a informare i </w:t>
            </w:r>
            <w:proofErr w:type="spellStart"/>
            <w:r w:rsidRPr="00441619">
              <w:rPr>
                <w:rFonts w:cs="DecimaWE Rg"/>
              </w:rPr>
              <w:t>prescrittori</w:t>
            </w:r>
            <w:proofErr w:type="spellEnd"/>
            <w:r w:rsidRPr="00441619">
              <w:rPr>
                <w:rFonts w:cs="DecimaWE Rg"/>
              </w:rPr>
              <w:t xml:space="preserve"> del CRO all’utilizzo di farmaci acquistati centralmente.</w:t>
            </w:r>
          </w:p>
        </w:tc>
      </w:tr>
      <w:tr w:rsidR="005325AC" w:rsidRPr="00441619" w:rsidTr="000D30D1">
        <w:trPr>
          <w:trHeight w:val="3608"/>
          <w:jc w:val="center"/>
        </w:trPr>
        <w:tc>
          <w:tcPr>
            <w:tcW w:w="985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325AC" w:rsidRPr="00441619" w:rsidRDefault="005325AC" w:rsidP="000D30D1">
            <w:pPr>
              <w:jc w:val="both"/>
              <w:outlineLvl w:val="0"/>
              <w:rPr>
                <w:rFonts w:eastAsia="MS Mincho" w:cs="Calibri"/>
                <w:b/>
              </w:rPr>
            </w:pPr>
            <w:r w:rsidRPr="00441619">
              <w:rPr>
                <w:rFonts w:eastAsia="MS Mincho" w:cs="Calibri"/>
                <w:b/>
              </w:rPr>
              <w:lastRenderedPageBreak/>
              <w:t>Attuazione al 31.12.2015</w:t>
            </w:r>
          </w:p>
          <w:p w:rsidR="005325AC" w:rsidRPr="00441619" w:rsidRDefault="005325AC" w:rsidP="008A29F1">
            <w:pPr>
              <w:pStyle w:val="Paragrafoelenco"/>
              <w:numPr>
                <w:ilvl w:val="2"/>
                <w:numId w:val="27"/>
              </w:numPr>
              <w:spacing w:after="0" w:line="240" w:lineRule="auto"/>
              <w:ind w:left="450" w:hanging="454"/>
              <w:contextualSpacing w:val="0"/>
              <w:jc w:val="both"/>
              <w:outlineLvl w:val="0"/>
              <w:rPr>
                <w:rFonts w:cstheme="minorHAnsi"/>
                <w:bCs/>
              </w:rPr>
            </w:pPr>
            <w:r w:rsidRPr="00441619">
              <w:rPr>
                <w:rFonts w:cstheme="minorHAnsi"/>
                <w:bCs/>
              </w:rPr>
              <w:t xml:space="preserve">Il </w:t>
            </w:r>
            <w:r>
              <w:rPr>
                <w:rFonts w:cstheme="minorHAnsi"/>
                <w:bCs/>
              </w:rPr>
              <w:t>95</w:t>
            </w:r>
            <w:r w:rsidRPr="00441619">
              <w:rPr>
                <w:rFonts w:cstheme="minorHAnsi"/>
                <w:bCs/>
              </w:rPr>
              <w:t xml:space="preserve">% delle dosi utilizzate e distribuite dei farmaci </w:t>
            </w:r>
            <w:r>
              <w:rPr>
                <w:rFonts w:cstheme="minorHAnsi"/>
                <w:bCs/>
              </w:rPr>
              <w:t>(</w:t>
            </w:r>
            <w:proofErr w:type="spellStart"/>
            <w:r w:rsidRPr="00441619">
              <w:rPr>
                <w:rFonts w:cstheme="minorHAnsi"/>
                <w:bCs/>
              </w:rPr>
              <w:t>epoetina</w:t>
            </w:r>
            <w:proofErr w:type="spellEnd"/>
            <w:r w:rsidRPr="00441619">
              <w:rPr>
                <w:rFonts w:cstheme="minorHAnsi"/>
                <w:bCs/>
              </w:rPr>
              <w:t xml:space="preserve"> e fattori di crescita </w:t>
            </w:r>
            <w:proofErr w:type="spellStart"/>
            <w:r w:rsidRPr="00441619">
              <w:rPr>
                <w:rFonts w:cstheme="minorHAnsi"/>
                <w:bCs/>
              </w:rPr>
              <w:t>granulocitari</w:t>
            </w:r>
            <w:proofErr w:type="spellEnd"/>
            <w:r>
              <w:rPr>
                <w:rFonts w:cstheme="minorHAnsi"/>
                <w:bCs/>
              </w:rPr>
              <w:t>)</w:t>
            </w:r>
            <w:r w:rsidRPr="00441619">
              <w:rPr>
                <w:rFonts w:cstheme="minorHAnsi"/>
                <w:bCs/>
              </w:rPr>
              <w:t xml:space="preserve"> appartengono a </w:t>
            </w:r>
            <w:r>
              <w:rPr>
                <w:rFonts w:cstheme="minorHAnsi"/>
                <w:bCs/>
              </w:rPr>
              <w:t>prodotti</w:t>
            </w:r>
            <w:r w:rsidRPr="00441619">
              <w:rPr>
                <w:rFonts w:cstheme="minorHAnsi"/>
                <w:bCs/>
              </w:rPr>
              <w:t xml:space="preserve"> aggiudicati in gara regionale come </w:t>
            </w:r>
            <w:proofErr w:type="spellStart"/>
            <w:r w:rsidRPr="00441619">
              <w:rPr>
                <w:rFonts w:cstheme="minorHAnsi"/>
                <w:bCs/>
              </w:rPr>
              <w:t>biosimilare</w:t>
            </w:r>
            <w:proofErr w:type="spellEnd"/>
            <w:r w:rsidRPr="00441619">
              <w:rPr>
                <w:rFonts w:cstheme="minorHAnsi"/>
                <w:bCs/>
              </w:rPr>
              <w:t xml:space="preserve">. </w:t>
            </w:r>
            <w:r>
              <w:rPr>
                <w:rFonts w:cstheme="minorHAnsi"/>
                <w:bCs/>
              </w:rPr>
              <w:t xml:space="preserve">Non si registrano consumi di corrispondenti farmaci </w:t>
            </w:r>
            <w:proofErr w:type="spellStart"/>
            <w:r>
              <w:rPr>
                <w:rFonts w:cstheme="minorHAnsi"/>
                <w:bCs/>
              </w:rPr>
              <w:t>branded</w:t>
            </w:r>
            <w:proofErr w:type="spellEnd"/>
            <w:r>
              <w:rPr>
                <w:rFonts w:cstheme="minorHAnsi"/>
                <w:bCs/>
              </w:rPr>
              <w:t>.</w:t>
            </w:r>
          </w:p>
          <w:p w:rsidR="005325AC" w:rsidRDefault="005325AC" w:rsidP="008A29F1">
            <w:pPr>
              <w:pStyle w:val="Paragrafoelenco"/>
              <w:numPr>
                <w:ilvl w:val="2"/>
                <w:numId w:val="27"/>
              </w:numPr>
              <w:spacing w:after="0" w:line="240" w:lineRule="auto"/>
              <w:ind w:left="450" w:hanging="454"/>
              <w:contextualSpacing w:val="0"/>
              <w:jc w:val="both"/>
              <w:outlineLvl w:val="0"/>
              <w:rPr>
                <w:rFonts w:cstheme="minorHAnsi"/>
                <w:bCs/>
              </w:rPr>
            </w:pPr>
            <w:r>
              <w:rPr>
                <w:rFonts w:cstheme="minorHAnsi"/>
                <w:bCs/>
              </w:rPr>
              <w:t xml:space="preserve">L’analisi delle prescrizioni dei  singoli </w:t>
            </w:r>
            <w:proofErr w:type="spellStart"/>
            <w:r>
              <w:rPr>
                <w:rFonts w:cstheme="minorHAnsi"/>
                <w:bCs/>
              </w:rPr>
              <w:t>prescrittori</w:t>
            </w:r>
            <w:proofErr w:type="spellEnd"/>
            <w:r>
              <w:rPr>
                <w:rFonts w:cstheme="minorHAnsi"/>
                <w:bCs/>
              </w:rPr>
              <w:t xml:space="preserve"> effettuate con il sistema informativo PSM censite dall’AAS5 evidenzia che l’80% delle prescrizioni analizzate per classe ATC sono relative a farmaci </w:t>
            </w:r>
            <w:proofErr w:type="spellStart"/>
            <w:r>
              <w:rPr>
                <w:rFonts w:cstheme="minorHAnsi"/>
                <w:bCs/>
              </w:rPr>
              <w:t>biosimilari</w:t>
            </w:r>
            <w:proofErr w:type="spellEnd"/>
            <w:r>
              <w:rPr>
                <w:rFonts w:cstheme="minorHAnsi"/>
                <w:bCs/>
              </w:rPr>
              <w:t xml:space="preserve"> (report dell’AAS5).</w:t>
            </w:r>
          </w:p>
          <w:p w:rsidR="005325AC" w:rsidRPr="00441619" w:rsidRDefault="005325AC" w:rsidP="008A29F1">
            <w:pPr>
              <w:pStyle w:val="Paragrafoelenco"/>
              <w:numPr>
                <w:ilvl w:val="2"/>
                <w:numId w:val="27"/>
              </w:numPr>
              <w:spacing w:after="0" w:line="240" w:lineRule="auto"/>
              <w:ind w:left="450" w:hanging="454"/>
              <w:contextualSpacing w:val="0"/>
              <w:jc w:val="both"/>
              <w:outlineLvl w:val="0"/>
              <w:rPr>
                <w:rFonts w:cstheme="minorHAnsi"/>
                <w:bCs/>
              </w:rPr>
            </w:pPr>
            <w:r w:rsidRPr="00441619">
              <w:rPr>
                <w:rFonts w:cstheme="minorHAnsi"/>
                <w:bCs/>
              </w:rPr>
              <w:t>Il 100% delle prescrizioni dei medicinali a brevetto scaduto in riferimento alle classi terapeutiche individuate dagli indicatori AIFA-MEF del sistema TS appartiene ai farmaci a brevetto scaduto così come forniti dal magazzino EGAS e su prescrizione PSM.</w:t>
            </w:r>
          </w:p>
          <w:p w:rsidR="005325AC" w:rsidRPr="00441619" w:rsidRDefault="005325AC" w:rsidP="008A29F1">
            <w:pPr>
              <w:pStyle w:val="Paragrafoelenco"/>
              <w:numPr>
                <w:ilvl w:val="2"/>
                <w:numId w:val="27"/>
              </w:numPr>
              <w:spacing w:after="0" w:line="240" w:lineRule="auto"/>
              <w:ind w:left="450" w:hanging="454"/>
              <w:contextualSpacing w:val="0"/>
              <w:jc w:val="both"/>
              <w:outlineLvl w:val="0"/>
              <w:rPr>
                <w:rFonts w:cstheme="minorHAnsi"/>
                <w:bCs/>
              </w:rPr>
            </w:pPr>
            <w:r w:rsidRPr="00441619">
              <w:rPr>
                <w:rFonts w:cstheme="minorHAnsi"/>
                <w:bCs/>
              </w:rPr>
              <w:t xml:space="preserve">Nel corso del 2015 è stato avviato e messo a regime il progetto che prevede l’acquisizione dei farmaci oncologici </w:t>
            </w:r>
            <w:proofErr w:type="spellStart"/>
            <w:r w:rsidRPr="00441619">
              <w:rPr>
                <w:rFonts w:cstheme="minorHAnsi"/>
                <w:bCs/>
              </w:rPr>
              <w:t>infusionali</w:t>
            </w:r>
            <w:proofErr w:type="spellEnd"/>
            <w:r w:rsidRPr="00441619">
              <w:rPr>
                <w:rFonts w:cstheme="minorHAnsi"/>
                <w:bCs/>
              </w:rPr>
              <w:t xml:space="preserve"> tramite l’EGAS. Dal lato della distribuzione diretta, i </w:t>
            </w:r>
            <w:proofErr w:type="spellStart"/>
            <w:r w:rsidRPr="00441619">
              <w:rPr>
                <w:rFonts w:cstheme="minorHAnsi"/>
                <w:bCs/>
              </w:rPr>
              <w:t>prescrittori</w:t>
            </w:r>
            <w:proofErr w:type="spellEnd"/>
            <w:r w:rsidRPr="00441619">
              <w:rPr>
                <w:rFonts w:cstheme="minorHAnsi"/>
                <w:bCs/>
              </w:rPr>
              <w:t xml:space="preserve"> del CRO sono stati informati e istruiti per l’utilizzo del sistema PSM limitandone la possibilità prescrittiva ai farmaci esistenti in buffer EGAS.</w:t>
            </w:r>
          </w:p>
        </w:tc>
      </w:tr>
      <w:tr w:rsidR="005325AC" w:rsidRPr="000C564F" w:rsidTr="000D3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trHeight w:val="1088"/>
          <w:jc w:val="center"/>
        </w:trPr>
        <w:tc>
          <w:tcPr>
            <w:tcW w:w="4533" w:type="dxa"/>
            <w:tcBorders>
              <w:top w:val="single" w:sz="4" w:space="0" w:color="000000"/>
              <w:left w:val="single" w:sz="4" w:space="0" w:color="000000"/>
              <w:bottom w:val="single" w:sz="4" w:space="0" w:color="auto"/>
              <w:right w:val="single" w:sz="4" w:space="0" w:color="000000"/>
            </w:tcBorders>
            <w:shd w:val="clear" w:color="auto" w:fill="E6E6E6"/>
            <w:tcMar>
              <w:top w:w="0" w:type="dxa"/>
              <w:left w:w="108" w:type="dxa"/>
              <w:bottom w:w="0" w:type="dxa"/>
              <w:right w:w="108" w:type="dxa"/>
            </w:tcMar>
          </w:tcPr>
          <w:p w:rsidR="005325AC" w:rsidRPr="00E972A9" w:rsidRDefault="005325AC" w:rsidP="000D30D1">
            <w:pPr>
              <w:pStyle w:val="Corpodeltesto"/>
              <w:spacing w:after="0"/>
              <w:rPr>
                <w:rFonts w:cs="DecimaWE Rg"/>
                <w:b/>
              </w:rPr>
            </w:pPr>
            <w:r w:rsidRPr="00E972A9">
              <w:rPr>
                <w:rFonts w:cs="DecimaWE Rg"/>
                <w:b/>
              </w:rPr>
              <w:t>Obiettivo aziendale</w:t>
            </w:r>
          </w:p>
          <w:p w:rsidR="005325AC" w:rsidRPr="00E972A9" w:rsidRDefault="005325AC" w:rsidP="000D30D1">
            <w:pPr>
              <w:pStyle w:val="Corpodeltesto"/>
              <w:spacing w:after="0"/>
              <w:rPr>
                <w:rFonts w:cs="DecimaWE Rg"/>
              </w:rPr>
            </w:pPr>
            <w:r w:rsidRPr="00E972A9">
              <w:rPr>
                <w:rFonts w:cs="DecimaWE Rg"/>
              </w:rPr>
              <w:t>Attività di farmacovigilanza</w:t>
            </w:r>
          </w:p>
        </w:tc>
        <w:tc>
          <w:tcPr>
            <w:tcW w:w="5321" w:type="dxa"/>
            <w:tcBorders>
              <w:top w:val="single" w:sz="4" w:space="0" w:color="000000"/>
              <w:left w:val="single" w:sz="4" w:space="0" w:color="000000"/>
              <w:bottom w:val="single" w:sz="4" w:space="0" w:color="auto"/>
              <w:right w:val="single" w:sz="4" w:space="0" w:color="000000"/>
            </w:tcBorders>
            <w:shd w:val="clear" w:color="auto" w:fill="E6E6E6"/>
            <w:tcMar>
              <w:top w:w="0" w:type="dxa"/>
              <w:left w:w="108" w:type="dxa"/>
              <w:bottom w:w="0" w:type="dxa"/>
              <w:right w:w="108" w:type="dxa"/>
            </w:tcMar>
          </w:tcPr>
          <w:p w:rsidR="005325AC" w:rsidRPr="00E972A9" w:rsidRDefault="005325AC" w:rsidP="000D30D1">
            <w:pPr>
              <w:pStyle w:val="Corpodeltesto"/>
              <w:spacing w:after="0"/>
              <w:ind w:left="-6"/>
              <w:jc w:val="both"/>
              <w:rPr>
                <w:rFonts w:cs="DecimaWE Rg"/>
                <w:b/>
              </w:rPr>
            </w:pPr>
            <w:r w:rsidRPr="00E972A9">
              <w:rPr>
                <w:rFonts w:cs="DecimaWE Rg"/>
                <w:b/>
              </w:rPr>
              <w:t>Risultato atteso</w:t>
            </w:r>
          </w:p>
          <w:p w:rsidR="005325AC" w:rsidRPr="00E972A9" w:rsidRDefault="005325AC" w:rsidP="000D30D1">
            <w:pPr>
              <w:pStyle w:val="Corpodeltesto"/>
              <w:spacing w:after="0"/>
              <w:ind w:left="-6"/>
              <w:jc w:val="both"/>
              <w:rPr>
                <w:rFonts w:cs="DecimaWE Rg"/>
              </w:rPr>
            </w:pPr>
            <w:r w:rsidRPr="00E972A9">
              <w:rPr>
                <w:rFonts w:cs="DecimaWE Rg"/>
              </w:rPr>
              <w:t>Assicurare tutti gli adempimenti di legge e promuovere l’uso sicuro dei medicinali attraverso attività di informazione e assistenza ai reparti</w:t>
            </w:r>
          </w:p>
        </w:tc>
      </w:tr>
      <w:tr w:rsidR="005325AC" w:rsidRPr="00D0013E" w:rsidTr="000D30D1">
        <w:trPr>
          <w:jc w:val="center"/>
        </w:trPr>
        <w:tc>
          <w:tcPr>
            <w:tcW w:w="985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325AC" w:rsidRPr="00D0013E" w:rsidRDefault="005325AC" w:rsidP="000D30D1">
            <w:pPr>
              <w:jc w:val="both"/>
              <w:outlineLvl w:val="0"/>
              <w:rPr>
                <w:rFonts w:eastAsia="MS Mincho" w:cs="Calibri"/>
                <w:b/>
              </w:rPr>
            </w:pPr>
            <w:r w:rsidRPr="00D0013E">
              <w:rPr>
                <w:rFonts w:eastAsia="MS Mincho" w:cs="Calibri"/>
                <w:b/>
              </w:rPr>
              <w:t>Attuazione al 31.12.2015:</w:t>
            </w:r>
          </w:p>
          <w:p w:rsidR="005325AC" w:rsidRPr="00D0013E" w:rsidRDefault="005325AC" w:rsidP="000D30D1">
            <w:pPr>
              <w:jc w:val="both"/>
              <w:outlineLvl w:val="0"/>
              <w:rPr>
                <w:rFonts w:cstheme="minorHAnsi"/>
                <w:bCs/>
              </w:rPr>
            </w:pPr>
            <w:r>
              <w:rPr>
                <w:rFonts w:eastAsia="Times New Roman"/>
              </w:rPr>
              <w:t xml:space="preserve">gli adempimenti di legge in tema di farmacovigilanza (segnalazioni, rilevazione </w:t>
            </w:r>
            <w:proofErr w:type="spellStart"/>
            <w:r>
              <w:rPr>
                <w:rFonts w:eastAsia="Times New Roman"/>
              </w:rPr>
              <w:t>Adr</w:t>
            </w:r>
            <w:proofErr w:type="spellEnd"/>
            <w:r>
              <w:rPr>
                <w:rFonts w:eastAsia="Times New Roman"/>
              </w:rPr>
              <w:t>, inserimento dei dati in RNF) sono stati assicurati (83 nell’anno 2015) anche a seguito di attività di formazione/informazione attuate sia con il personale che con i pazienti.</w:t>
            </w:r>
          </w:p>
        </w:tc>
      </w:tr>
      <w:tr w:rsidR="005325AC" w:rsidRPr="000C564F" w:rsidTr="000D3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trHeight w:val="7487"/>
          <w:jc w:val="center"/>
        </w:trPr>
        <w:tc>
          <w:tcPr>
            <w:tcW w:w="4533" w:type="dxa"/>
            <w:tcBorders>
              <w:top w:val="single" w:sz="4" w:space="0" w:color="000000"/>
              <w:left w:val="single" w:sz="4" w:space="0" w:color="000000"/>
              <w:bottom w:val="single" w:sz="4" w:space="0" w:color="auto"/>
              <w:right w:val="single" w:sz="4" w:space="0" w:color="000000"/>
            </w:tcBorders>
            <w:shd w:val="clear" w:color="auto" w:fill="E6E6E6"/>
            <w:tcMar>
              <w:top w:w="0" w:type="dxa"/>
              <w:left w:w="108" w:type="dxa"/>
              <w:bottom w:w="0" w:type="dxa"/>
              <w:right w:w="108" w:type="dxa"/>
            </w:tcMar>
          </w:tcPr>
          <w:p w:rsidR="005325AC" w:rsidRPr="00E11974" w:rsidRDefault="005325AC" w:rsidP="000D30D1">
            <w:pPr>
              <w:pStyle w:val="Corpodeltesto"/>
              <w:spacing w:after="0"/>
              <w:rPr>
                <w:rFonts w:cs="DecimaWE Rg"/>
                <w:b/>
              </w:rPr>
            </w:pPr>
            <w:r w:rsidRPr="00E11974">
              <w:rPr>
                <w:rFonts w:cs="DecimaWE Rg"/>
                <w:b/>
              </w:rPr>
              <w:lastRenderedPageBreak/>
              <w:t>Obiettivo aziendale</w:t>
            </w:r>
          </w:p>
          <w:p w:rsidR="005325AC" w:rsidRPr="00E11974" w:rsidRDefault="005325AC" w:rsidP="000D30D1">
            <w:pPr>
              <w:pStyle w:val="Corpodeltesto"/>
              <w:spacing w:after="0"/>
              <w:rPr>
                <w:rFonts w:cs="DecimaWE Rg"/>
              </w:rPr>
            </w:pPr>
            <w:r w:rsidRPr="00E11974">
              <w:rPr>
                <w:rFonts w:cs="DecimaWE Rg"/>
              </w:rPr>
              <w:t>Contenimento della spesa ospedaliera e governo delle prescrizioni dei farmaci ad alto costo (appropriatezza prescrittiva)</w:t>
            </w:r>
          </w:p>
        </w:tc>
        <w:tc>
          <w:tcPr>
            <w:tcW w:w="5321" w:type="dxa"/>
            <w:tcBorders>
              <w:top w:val="single" w:sz="4" w:space="0" w:color="000000"/>
              <w:left w:val="single" w:sz="4" w:space="0" w:color="000000"/>
              <w:bottom w:val="single" w:sz="4" w:space="0" w:color="auto"/>
              <w:right w:val="single" w:sz="4" w:space="0" w:color="000000"/>
            </w:tcBorders>
            <w:shd w:val="clear" w:color="auto" w:fill="E6E6E6"/>
            <w:tcMar>
              <w:top w:w="0" w:type="dxa"/>
              <w:left w:w="108" w:type="dxa"/>
              <w:bottom w:w="0" w:type="dxa"/>
              <w:right w:w="108" w:type="dxa"/>
            </w:tcMar>
          </w:tcPr>
          <w:p w:rsidR="005325AC" w:rsidRPr="00E11974" w:rsidRDefault="005325AC" w:rsidP="000D30D1">
            <w:pPr>
              <w:pStyle w:val="Corpodeltesto"/>
              <w:spacing w:after="0"/>
              <w:ind w:left="-6"/>
              <w:jc w:val="both"/>
              <w:rPr>
                <w:rFonts w:cs="DecimaWE Rg"/>
              </w:rPr>
            </w:pPr>
            <w:r w:rsidRPr="00E11974">
              <w:rPr>
                <w:rFonts w:cs="DecimaWE Rg"/>
                <w:b/>
              </w:rPr>
              <w:t>Risultato atteso</w:t>
            </w:r>
          </w:p>
          <w:p w:rsidR="005325AC" w:rsidRPr="00E11974" w:rsidRDefault="005325AC" w:rsidP="000D30D1">
            <w:pPr>
              <w:pStyle w:val="Corpodeltesto"/>
              <w:spacing w:after="0"/>
              <w:ind w:left="-6"/>
              <w:jc w:val="both"/>
              <w:rPr>
                <w:rFonts w:cs="DecimaWE Rg"/>
              </w:rPr>
            </w:pPr>
            <w:r w:rsidRPr="00E11974">
              <w:rPr>
                <w:rFonts w:cs="DecimaWE Rg"/>
              </w:rPr>
              <w:t xml:space="preserve">1. La prescrizione dei medicinali soggetti a registro AIFA dovrà avvenire nel rispetto delle indicazioni prefissate, assicurando la registrazione di tutti i dati richiesti, al fine di assicurare appropriatezza d’uso e consentire il recupero di quanto dovuto in termini di </w:t>
            </w:r>
            <w:proofErr w:type="spellStart"/>
            <w:r w:rsidRPr="00E11974">
              <w:rPr>
                <w:rFonts w:cs="DecimaWE Rg"/>
              </w:rPr>
              <w:t>cost-sharing</w:t>
            </w:r>
            <w:proofErr w:type="spellEnd"/>
            <w:r w:rsidRPr="00E11974">
              <w:rPr>
                <w:rFonts w:cs="DecimaWE Rg"/>
              </w:rPr>
              <w:t xml:space="preserve">, </w:t>
            </w:r>
            <w:proofErr w:type="spellStart"/>
            <w:r w:rsidRPr="00E11974">
              <w:rPr>
                <w:rFonts w:cs="DecimaWE Rg"/>
              </w:rPr>
              <w:t>pay-back</w:t>
            </w:r>
            <w:proofErr w:type="spellEnd"/>
            <w:r w:rsidRPr="00E11974">
              <w:rPr>
                <w:rFonts w:cs="DecimaWE Rg"/>
              </w:rPr>
              <w:t xml:space="preserve"> e </w:t>
            </w:r>
            <w:proofErr w:type="spellStart"/>
            <w:r w:rsidRPr="00E11974">
              <w:rPr>
                <w:rFonts w:cs="DecimaWE Rg"/>
              </w:rPr>
              <w:t>risk</w:t>
            </w:r>
            <w:proofErr w:type="spellEnd"/>
            <w:r w:rsidRPr="00E11974">
              <w:rPr>
                <w:rFonts w:cs="DecimaWE Rg"/>
              </w:rPr>
              <w:t xml:space="preserve"> </w:t>
            </w:r>
            <w:proofErr w:type="spellStart"/>
            <w:r w:rsidRPr="00E11974">
              <w:rPr>
                <w:rFonts w:cs="DecimaWE Rg"/>
              </w:rPr>
              <w:t>sharing</w:t>
            </w:r>
            <w:proofErr w:type="spellEnd"/>
            <w:r w:rsidRPr="00E11974">
              <w:rPr>
                <w:rFonts w:cs="DecimaWE Rg"/>
              </w:rPr>
              <w:t>. In riferimento a tale indicazione l’erogazione dei medicinali potrà avvenire solo a fronte di apposita documentazione attestante per i farmaci in questione la compilazione di detti registri;</w:t>
            </w:r>
          </w:p>
          <w:p w:rsidR="005325AC" w:rsidRPr="00E11974" w:rsidRDefault="005325AC" w:rsidP="000D30D1">
            <w:pPr>
              <w:pStyle w:val="Corpodeltesto"/>
              <w:spacing w:after="0"/>
              <w:jc w:val="both"/>
              <w:rPr>
                <w:rFonts w:cs="DecimaWE Rg"/>
              </w:rPr>
            </w:pPr>
            <w:r w:rsidRPr="00E11974">
              <w:rPr>
                <w:rFonts w:cs="DecimaWE Rg"/>
              </w:rPr>
              <w:t xml:space="preserve">2. La cartella oncologia informatizzata viene implementata relativamente ai campi: protocollo/farmaco, diagnosi/sede, </w:t>
            </w:r>
            <w:proofErr w:type="spellStart"/>
            <w:r w:rsidRPr="00E11974">
              <w:rPr>
                <w:rFonts w:cs="DecimaWE Rg"/>
              </w:rPr>
              <w:t>stadiazione</w:t>
            </w:r>
            <w:proofErr w:type="spellEnd"/>
            <w:r w:rsidRPr="00E11974">
              <w:rPr>
                <w:rFonts w:cs="DecimaWE Rg"/>
              </w:rPr>
              <w:t xml:space="preserve"> con un grado di completezza pari ad almeno il 95% dei pazienti;</w:t>
            </w:r>
          </w:p>
          <w:p w:rsidR="005325AC" w:rsidRPr="00E11974" w:rsidRDefault="005325AC" w:rsidP="000D30D1">
            <w:pPr>
              <w:pStyle w:val="Corpodeltesto"/>
              <w:spacing w:after="0"/>
              <w:jc w:val="both"/>
              <w:rPr>
                <w:rFonts w:cs="DecimaWE Rg"/>
              </w:rPr>
            </w:pPr>
            <w:r w:rsidRPr="00E11974">
              <w:rPr>
                <w:rFonts w:cs="DecimaWE Rg"/>
              </w:rPr>
              <w:t xml:space="preserve">3. L’azienda assicura: l’implementazione e il controllo dei flussi informativi verso le amministrazioni centrali entro il 10 di ogni mese; l’integrale copertura della fase 3 su fase 2; la verifica della congruenza dei dati trasmessi con gli indicatori di qualità del dato disponibili. </w:t>
            </w:r>
          </w:p>
          <w:p w:rsidR="005325AC" w:rsidRPr="00E11974" w:rsidRDefault="005325AC" w:rsidP="000D30D1">
            <w:pPr>
              <w:pStyle w:val="Corpodeltesto"/>
              <w:spacing w:after="0"/>
              <w:jc w:val="both"/>
              <w:rPr>
                <w:rFonts w:cs="DecimaWE Rg"/>
              </w:rPr>
            </w:pPr>
            <w:r w:rsidRPr="00E11974">
              <w:rPr>
                <w:rFonts w:cs="DecimaWE Rg"/>
              </w:rPr>
              <w:t xml:space="preserve">4. Le Aziende sanitarie implementeranno, secondo le modalità che saranno definite nel corso del 2015 dalla DCSISPSF, il sistema </w:t>
            </w:r>
            <w:proofErr w:type="spellStart"/>
            <w:r w:rsidRPr="00E11974">
              <w:rPr>
                <w:rFonts w:cs="DecimaWE Rg"/>
              </w:rPr>
              <w:t>SIASA-File</w:t>
            </w:r>
            <w:proofErr w:type="spellEnd"/>
            <w:r w:rsidRPr="00E11974">
              <w:rPr>
                <w:rFonts w:cs="DecimaWE Rg"/>
              </w:rPr>
              <w:t xml:space="preserve"> F ovvero sistemi validati e condivisi per i pazienti regionali in regime di ricovero, prestazioni ambulatoriali e distribuzione diretta al fine di quantificare la mobilità </w:t>
            </w:r>
            <w:proofErr w:type="spellStart"/>
            <w:r w:rsidRPr="00E11974">
              <w:rPr>
                <w:rFonts w:cs="DecimaWE Rg"/>
              </w:rPr>
              <w:t>intra-regionale</w:t>
            </w:r>
            <w:proofErr w:type="spellEnd"/>
            <w:r w:rsidRPr="00E11974">
              <w:rPr>
                <w:rFonts w:cs="DecimaWE Rg"/>
              </w:rPr>
              <w:t>. Viene mantenuto il sistema PSM per i flussi nominali della distribuzione diretta.</w:t>
            </w:r>
          </w:p>
        </w:tc>
      </w:tr>
      <w:tr w:rsidR="005325AC" w:rsidRPr="000C564F" w:rsidTr="000D30D1">
        <w:trPr>
          <w:jc w:val="center"/>
        </w:trPr>
        <w:tc>
          <w:tcPr>
            <w:tcW w:w="985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325AC" w:rsidRPr="005010EE" w:rsidRDefault="005325AC" w:rsidP="000D30D1">
            <w:pPr>
              <w:jc w:val="both"/>
              <w:outlineLvl w:val="0"/>
              <w:rPr>
                <w:rFonts w:eastAsia="MS Mincho" w:cs="Calibri"/>
                <w:b/>
              </w:rPr>
            </w:pPr>
            <w:r w:rsidRPr="005010EE">
              <w:rPr>
                <w:rFonts w:eastAsia="MS Mincho" w:cs="Calibri"/>
                <w:b/>
              </w:rPr>
              <w:t>Attuazione al 31.12.2015</w:t>
            </w:r>
          </w:p>
          <w:p w:rsidR="005325AC" w:rsidRPr="00441619" w:rsidRDefault="005325AC" w:rsidP="000D30D1">
            <w:pPr>
              <w:jc w:val="both"/>
              <w:rPr>
                <w:rFonts w:cs="Arial"/>
              </w:rPr>
            </w:pPr>
            <w:r w:rsidRPr="00441619">
              <w:rPr>
                <w:rFonts w:cs="Arial"/>
              </w:rPr>
              <w:t xml:space="preserve">1. </w:t>
            </w:r>
            <w:r>
              <w:rPr>
                <w:rFonts w:cs="Arial"/>
              </w:rPr>
              <w:t>è</w:t>
            </w:r>
            <w:r w:rsidRPr="00441619">
              <w:t xml:space="preserve"> attivo un monitoraggio trimestrale relativo all'inserimento dei dati </w:t>
            </w:r>
            <w:r>
              <w:t>n</w:t>
            </w:r>
            <w:r w:rsidRPr="00441619">
              <w:t>el Registro RFOM. La percentuale di completezza delle registrazioni è aumentata in questi ultimi anni pur in presenza di un crescente numero di farmaci oggetto di monitoraggio;</w:t>
            </w:r>
          </w:p>
          <w:p w:rsidR="005325AC" w:rsidRPr="005010EE" w:rsidRDefault="005325AC" w:rsidP="000D30D1">
            <w:pPr>
              <w:jc w:val="both"/>
              <w:rPr>
                <w:rFonts w:cs="Arial"/>
                <w:color w:val="000000"/>
              </w:rPr>
            </w:pPr>
            <w:r w:rsidRPr="005010EE">
              <w:rPr>
                <w:rFonts w:cs="Arial"/>
                <w:color w:val="000000"/>
              </w:rPr>
              <w:t>2. 96,46%</w:t>
            </w:r>
            <w:r>
              <w:rPr>
                <w:rFonts w:cs="Arial"/>
                <w:color w:val="000000"/>
              </w:rPr>
              <w:t>;</w:t>
            </w:r>
          </w:p>
          <w:p w:rsidR="005325AC" w:rsidRPr="005010EE" w:rsidRDefault="005325AC" w:rsidP="000D30D1">
            <w:pPr>
              <w:jc w:val="both"/>
              <w:rPr>
                <w:rFonts w:cs="Arial"/>
                <w:color w:val="000000"/>
              </w:rPr>
            </w:pPr>
            <w:r w:rsidRPr="005010EE">
              <w:rPr>
                <w:rFonts w:cs="Arial"/>
                <w:color w:val="000000"/>
              </w:rPr>
              <w:t xml:space="preserve">3. </w:t>
            </w:r>
            <w:r>
              <w:rPr>
                <w:rFonts w:cs="Arial"/>
                <w:color w:val="000000"/>
              </w:rPr>
              <w:t xml:space="preserve">sono proseguite le attività di copertura della fase 3 su fase 2, assicurando i flussi informativi </w:t>
            </w:r>
            <w:r w:rsidRPr="005010EE">
              <w:rPr>
                <w:rFonts w:cs="Arial"/>
                <w:color w:val="000000"/>
              </w:rPr>
              <w:t xml:space="preserve">entro il 10 di ogni mese </w:t>
            </w:r>
            <w:r>
              <w:rPr>
                <w:rFonts w:cs="Arial"/>
                <w:color w:val="000000"/>
              </w:rPr>
              <w:t>verso le amministrazioni centrali;</w:t>
            </w:r>
          </w:p>
          <w:p w:rsidR="005325AC" w:rsidRPr="005010EE" w:rsidRDefault="005325AC" w:rsidP="000D30D1">
            <w:pPr>
              <w:jc w:val="both"/>
              <w:rPr>
                <w:rFonts w:cs="Arial"/>
                <w:color w:val="000000"/>
              </w:rPr>
            </w:pPr>
            <w:r w:rsidRPr="005010EE">
              <w:rPr>
                <w:rFonts w:cs="Arial"/>
                <w:color w:val="000000"/>
              </w:rPr>
              <w:t>4. i dati sono sistematicamente inseriti nei sistemi PSM e ASCOT</w:t>
            </w:r>
            <w:r>
              <w:rPr>
                <w:rFonts w:cs="Arial"/>
                <w:color w:val="000000"/>
              </w:rPr>
              <w:t>.</w:t>
            </w:r>
          </w:p>
        </w:tc>
      </w:tr>
      <w:tr w:rsidR="005325AC" w:rsidRPr="00E11974" w:rsidTr="000D3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trHeight w:val="1367"/>
          <w:jc w:val="center"/>
        </w:trPr>
        <w:tc>
          <w:tcPr>
            <w:tcW w:w="4533" w:type="dxa"/>
            <w:tcBorders>
              <w:top w:val="single" w:sz="4" w:space="0" w:color="000000"/>
              <w:left w:val="single" w:sz="4" w:space="0" w:color="000000"/>
              <w:bottom w:val="single" w:sz="4" w:space="0" w:color="auto"/>
              <w:right w:val="single" w:sz="4" w:space="0" w:color="000000"/>
            </w:tcBorders>
            <w:shd w:val="clear" w:color="auto" w:fill="E6E6E6"/>
            <w:tcMar>
              <w:top w:w="0" w:type="dxa"/>
              <w:left w:w="108" w:type="dxa"/>
              <w:bottom w:w="0" w:type="dxa"/>
              <w:right w:w="108" w:type="dxa"/>
            </w:tcMar>
          </w:tcPr>
          <w:p w:rsidR="005325AC" w:rsidRPr="00E11974" w:rsidRDefault="005325AC" w:rsidP="000D30D1">
            <w:pPr>
              <w:pStyle w:val="Corpodeltesto"/>
              <w:spacing w:after="0"/>
              <w:rPr>
                <w:rFonts w:cs="DecimaWE Rg"/>
                <w:b/>
              </w:rPr>
            </w:pPr>
            <w:r w:rsidRPr="00E11974">
              <w:rPr>
                <w:rFonts w:cs="DecimaWE Rg"/>
                <w:b/>
              </w:rPr>
              <w:t>Obiettivo aziendale</w:t>
            </w:r>
          </w:p>
          <w:p w:rsidR="005325AC" w:rsidRPr="00E11974" w:rsidRDefault="005325AC" w:rsidP="000D30D1">
            <w:pPr>
              <w:pStyle w:val="Corpodeltesto"/>
              <w:spacing w:after="0"/>
              <w:rPr>
                <w:rFonts w:cs="DecimaWE Rg"/>
              </w:rPr>
            </w:pPr>
            <w:r w:rsidRPr="00E11974">
              <w:rPr>
                <w:rFonts w:cs="DecimaWE Rg"/>
              </w:rPr>
              <w:t>Prontuario terapeutico regionale e introduzione di sistemi omogenei di valutazione sull’impiego di farmaci</w:t>
            </w:r>
          </w:p>
        </w:tc>
        <w:tc>
          <w:tcPr>
            <w:tcW w:w="5321" w:type="dxa"/>
            <w:tcBorders>
              <w:top w:val="single" w:sz="4" w:space="0" w:color="000000"/>
              <w:left w:val="single" w:sz="4" w:space="0" w:color="000000"/>
              <w:bottom w:val="single" w:sz="4" w:space="0" w:color="auto"/>
              <w:right w:val="single" w:sz="4" w:space="0" w:color="000000"/>
            </w:tcBorders>
            <w:shd w:val="clear" w:color="auto" w:fill="E6E6E6"/>
            <w:tcMar>
              <w:top w:w="0" w:type="dxa"/>
              <w:left w:w="108" w:type="dxa"/>
              <w:bottom w:w="0" w:type="dxa"/>
              <w:right w:w="108" w:type="dxa"/>
            </w:tcMar>
          </w:tcPr>
          <w:p w:rsidR="005325AC" w:rsidRPr="00E11974" w:rsidRDefault="005325AC" w:rsidP="000D30D1">
            <w:pPr>
              <w:pStyle w:val="Corpodeltesto"/>
              <w:spacing w:after="0"/>
              <w:ind w:left="-6"/>
              <w:jc w:val="both"/>
              <w:rPr>
                <w:rFonts w:cs="DecimaWE Rg"/>
              </w:rPr>
            </w:pPr>
            <w:r w:rsidRPr="00E11974">
              <w:rPr>
                <w:rFonts w:cs="DecimaWE Rg"/>
                <w:b/>
              </w:rPr>
              <w:t>Risultato atteso</w:t>
            </w:r>
          </w:p>
          <w:p w:rsidR="005325AC" w:rsidRPr="00E11974" w:rsidRDefault="005325AC" w:rsidP="000D30D1">
            <w:pPr>
              <w:pStyle w:val="Corpodeltesto"/>
              <w:spacing w:after="0"/>
              <w:jc w:val="both"/>
              <w:rPr>
                <w:rFonts w:cs="DecimaWE Rg"/>
              </w:rPr>
            </w:pPr>
            <w:r w:rsidRPr="00E11974">
              <w:rPr>
                <w:rFonts w:cs="DecimaWE Rg"/>
              </w:rPr>
              <w:t>Partecipazione alle riunioni con AAS5 e regionali finalizzate alla definizione di percorsi omogenei regionali per l’inserimento di nuove molecole e la valutazione sull’impiego di farmaci.</w:t>
            </w:r>
          </w:p>
        </w:tc>
      </w:tr>
      <w:tr w:rsidR="005325AC" w:rsidRPr="000C564F" w:rsidTr="000D30D1">
        <w:trPr>
          <w:jc w:val="center"/>
        </w:trPr>
        <w:tc>
          <w:tcPr>
            <w:tcW w:w="985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325AC" w:rsidRPr="00E11974" w:rsidRDefault="005325AC" w:rsidP="000D30D1">
            <w:pPr>
              <w:jc w:val="both"/>
              <w:outlineLvl w:val="0"/>
              <w:rPr>
                <w:rFonts w:eastAsia="MS Mincho" w:cs="Calibri"/>
                <w:b/>
              </w:rPr>
            </w:pPr>
            <w:r w:rsidRPr="00E11974">
              <w:rPr>
                <w:rFonts w:eastAsia="MS Mincho" w:cs="Calibri"/>
                <w:b/>
              </w:rPr>
              <w:t>Attuazione al 31.12.2015</w:t>
            </w:r>
          </w:p>
          <w:p w:rsidR="005325AC" w:rsidRPr="00E11974" w:rsidRDefault="005325AC" w:rsidP="000D30D1">
            <w:pPr>
              <w:jc w:val="both"/>
              <w:outlineLvl w:val="0"/>
              <w:rPr>
                <w:rFonts w:cstheme="minorHAnsi"/>
                <w:bCs/>
              </w:rPr>
            </w:pPr>
            <w:r w:rsidRPr="00E11974">
              <w:rPr>
                <w:rFonts w:cstheme="minorHAnsi"/>
                <w:bCs/>
              </w:rPr>
              <w:lastRenderedPageBreak/>
              <w:t>È continuata l'attività di integrazione dei PT con l’AAS 5 finalizzata alla definizione di percorsi omogenei sull'introduzione, impiego e monitoraggio dei farmaci.</w:t>
            </w:r>
          </w:p>
        </w:tc>
      </w:tr>
      <w:tr w:rsidR="005325AC" w:rsidRPr="00E11974" w:rsidTr="000D3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trHeight w:val="917"/>
          <w:jc w:val="center"/>
        </w:trPr>
        <w:tc>
          <w:tcPr>
            <w:tcW w:w="4533" w:type="dxa"/>
            <w:tcBorders>
              <w:top w:val="single" w:sz="4" w:space="0" w:color="000000"/>
              <w:left w:val="single" w:sz="4" w:space="0" w:color="000000"/>
              <w:bottom w:val="single" w:sz="4" w:space="0" w:color="auto"/>
              <w:right w:val="single" w:sz="4" w:space="0" w:color="000000"/>
            </w:tcBorders>
            <w:shd w:val="clear" w:color="auto" w:fill="E6E6E6"/>
            <w:tcMar>
              <w:top w:w="0" w:type="dxa"/>
              <w:left w:w="108" w:type="dxa"/>
              <w:bottom w:w="0" w:type="dxa"/>
              <w:right w:w="108" w:type="dxa"/>
            </w:tcMar>
          </w:tcPr>
          <w:p w:rsidR="005325AC" w:rsidRPr="00E11974" w:rsidRDefault="005325AC" w:rsidP="000D30D1">
            <w:pPr>
              <w:pStyle w:val="Corpodeltesto"/>
              <w:spacing w:after="0"/>
              <w:rPr>
                <w:rFonts w:cs="DecimaWE Rg"/>
                <w:b/>
              </w:rPr>
            </w:pPr>
            <w:r w:rsidRPr="00E11974">
              <w:rPr>
                <w:rFonts w:cs="DecimaWE Rg"/>
                <w:b/>
              </w:rPr>
              <w:lastRenderedPageBreak/>
              <w:t>Obiettivo aziendale</w:t>
            </w:r>
          </w:p>
          <w:p w:rsidR="005325AC" w:rsidRPr="00E11974" w:rsidRDefault="005325AC" w:rsidP="000D30D1">
            <w:pPr>
              <w:pStyle w:val="Corpodeltesto"/>
              <w:spacing w:after="0"/>
              <w:rPr>
                <w:rFonts w:cs="DecimaWE Rg"/>
              </w:rPr>
            </w:pPr>
            <w:r w:rsidRPr="00E11974">
              <w:rPr>
                <w:rFonts w:cs="DecimaWE Rg"/>
              </w:rPr>
              <w:t xml:space="preserve">Attuare i percorsi per uniformare le anagrafiche dei beni sanitari </w:t>
            </w:r>
          </w:p>
        </w:tc>
        <w:tc>
          <w:tcPr>
            <w:tcW w:w="5321" w:type="dxa"/>
            <w:tcBorders>
              <w:top w:val="single" w:sz="4" w:space="0" w:color="000000"/>
              <w:left w:val="single" w:sz="4" w:space="0" w:color="000000"/>
              <w:bottom w:val="single" w:sz="4" w:space="0" w:color="auto"/>
              <w:right w:val="single" w:sz="4" w:space="0" w:color="000000"/>
            </w:tcBorders>
            <w:shd w:val="clear" w:color="auto" w:fill="E6E6E6"/>
            <w:tcMar>
              <w:top w:w="0" w:type="dxa"/>
              <w:left w:w="108" w:type="dxa"/>
              <w:bottom w:w="0" w:type="dxa"/>
              <w:right w:w="108" w:type="dxa"/>
            </w:tcMar>
          </w:tcPr>
          <w:p w:rsidR="005325AC" w:rsidRPr="00E11974" w:rsidRDefault="005325AC" w:rsidP="000D30D1">
            <w:pPr>
              <w:pStyle w:val="Corpodeltesto"/>
              <w:spacing w:after="0"/>
              <w:ind w:left="-6"/>
              <w:jc w:val="both"/>
              <w:rPr>
                <w:rFonts w:cs="DecimaWE Rg"/>
              </w:rPr>
            </w:pPr>
            <w:r w:rsidRPr="00E11974">
              <w:rPr>
                <w:rFonts w:cs="DecimaWE Rg"/>
                <w:b/>
              </w:rPr>
              <w:t>Risultato atteso</w:t>
            </w:r>
          </w:p>
          <w:p w:rsidR="005325AC" w:rsidRPr="00E11974" w:rsidRDefault="005325AC" w:rsidP="000D30D1">
            <w:pPr>
              <w:pStyle w:val="Corpodeltesto"/>
              <w:spacing w:after="0"/>
              <w:jc w:val="both"/>
              <w:rPr>
                <w:rFonts w:cs="DecimaWE Rg"/>
              </w:rPr>
            </w:pPr>
            <w:r w:rsidRPr="00E11974">
              <w:rPr>
                <w:rFonts w:cs="DecimaWE Rg"/>
              </w:rPr>
              <w:t>Messa a regime del nuovo sistema di denominazione secondo le indicazioni regionali.</w:t>
            </w:r>
          </w:p>
        </w:tc>
      </w:tr>
      <w:tr w:rsidR="005325AC" w:rsidRPr="000C564F" w:rsidTr="000D30D1">
        <w:trPr>
          <w:jc w:val="center"/>
        </w:trPr>
        <w:tc>
          <w:tcPr>
            <w:tcW w:w="985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325AC" w:rsidRPr="00E11974" w:rsidRDefault="005325AC" w:rsidP="000D30D1">
            <w:pPr>
              <w:jc w:val="both"/>
              <w:outlineLvl w:val="0"/>
              <w:rPr>
                <w:rFonts w:eastAsia="MS Mincho" w:cs="Calibri"/>
                <w:b/>
              </w:rPr>
            </w:pPr>
            <w:r>
              <w:rPr>
                <w:rFonts w:eastAsia="MS Mincho" w:cs="Calibri"/>
                <w:b/>
              </w:rPr>
              <w:t>Attuazione al 31.12.2015</w:t>
            </w:r>
          </w:p>
          <w:p w:rsidR="005325AC" w:rsidRPr="00E11974" w:rsidRDefault="005325AC" w:rsidP="000D30D1">
            <w:pPr>
              <w:jc w:val="both"/>
              <w:outlineLvl w:val="0"/>
              <w:rPr>
                <w:rFonts w:cstheme="minorHAnsi"/>
                <w:bCs/>
              </w:rPr>
            </w:pPr>
            <w:r w:rsidRPr="00E11974">
              <w:rPr>
                <w:rFonts w:cstheme="minorHAnsi"/>
                <w:bCs/>
              </w:rPr>
              <w:t>gli acquisti di dispositivi vengono predisposti con annotazione CND e i farmaci sono classificati con AIC.</w:t>
            </w:r>
          </w:p>
        </w:tc>
      </w:tr>
      <w:tr w:rsidR="005325AC" w:rsidRPr="000C564F" w:rsidTr="000D3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trHeight w:val="917"/>
          <w:jc w:val="center"/>
        </w:trPr>
        <w:tc>
          <w:tcPr>
            <w:tcW w:w="4533" w:type="dxa"/>
            <w:tcBorders>
              <w:top w:val="single" w:sz="4" w:space="0" w:color="000000"/>
              <w:left w:val="single" w:sz="4" w:space="0" w:color="000000"/>
              <w:bottom w:val="single" w:sz="4" w:space="0" w:color="auto"/>
              <w:right w:val="single" w:sz="4" w:space="0" w:color="000000"/>
            </w:tcBorders>
            <w:shd w:val="clear" w:color="auto" w:fill="E6E6E6"/>
            <w:tcMar>
              <w:top w:w="0" w:type="dxa"/>
              <w:left w:w="108" w:type="dxa"/>
              <w:bottom w:w="0" w:type="dxa"/>
              <w:right w:w="108" w:type="dxa"/>
            </w:tcMar>
          </w:tcPr>
          <w:p w:rsidR="005325AC" w:rsidRPr="00441619" w:rsidRDefault="005325AC" w:rsidP="000D30D1">
            <w:pPr>
              <w:pStyle w:val="Corpodeltesto"/>
              <w:spacing w:after="0"/>
              <w:rPr>
                <w:rFonts w:cs="DecimaWE Rg"/>
                <w:b/>
              </w:rPr>
            </w:pPr>
            <w:r w:rsidRPr="00441619">
              <w:rPr>
                <w:rFonts w:cs="DecimaWE Rg"/>
                <w:b/>
              </w:rPr>
              <w:t>Obiettivo aziendale</w:t>
            </w:r>
          </w:p>
          <w:p w:rsidR="005325AC" w:rsidRPr="00227DC3" w:rsidRDefault="005325AC" w:rsidP="000D30D1">
            <w:pPr>
              <w:pStyle w:val="Corpodeltesto"/>
              <w:jc w:val="both"/>
            </w:pPr>
            <w:r w:rsidRPr="00227DC3">
              <w:t>Appropriatezza prescrittiva e razionalizzazione della spesa (farmaceutica e integrativa)</w:t>
            </w:r>
          </w:p>
          <w:p w:rsidR="005325AC" w:rsidRPr="00441619" w:rsidRDefault="005325AC" w:rsidP="000D30D1">
            <w:pPr>
              <w:pStyle w:val="Corpodeltesto"/>
              <w:spacing w:after="0"/>
              <w:rPr>
                <w:rFonts w:cs="DecimaWE Rg"/>
              </w:rPr>
            </w:pPr>
          </w:p>
        </w:tc>
        <w:tc>
          <w:tcPr>
            <w:tcW w:w="5321" w:type="dxa"/>
            <w:tcBorders>
              <w:top w:val="single" w:sz="4" w:space="0" w:color="000000"/>
              <w:left w:val="single" w:sz="4" w:space="0" w:color="000000"/>
              <w:bottom w:val="single" w:sz="4" w:space="0" w:color="auto"/>
              <w:right w:val="single" w:sz="4" w:space="0" w:color="000000"/>
            </w:tcBorders>
            <w:shd w:val="clear" w:color="auto" w:fill="E6E6E6"/>
            <w:tcMar>
              <w:top w:w="0" w:type="dxa"/>
              <w:left w:w="108" w:type="dxa"/>
              <w:bottom w:w="0" w:type="dxa"/>
              <w:right w:w="108" w:type="dxa"/>
            </w:tcMar>
          </w:tcPr>
          <w:p w:rsidR="005325AC" w:rsidRPr="00441619" w:rsidRDefault="005325AC" w:rsidP="000D30D1">
            <w:pPr>
              <w:pStyle w:val="Corpodeltesto"/>
              <w:spacing w:after="0"/>
              <w:ind w:left="-6"/>
              <w:jc w:val="both"/>
              <w:rPr>
                <w:rFonts w:cs="DecimaWE Rg"/>
              </w:rPr>
            </w:pPr>
            <w:r w:rsidRPr="00441619">
              <w:rPr>
                <w:rFonts w:cs="DecimaWE Rg"/>
                <w:b/>
              </w:rPr>
              <w:t>Risultato atteso</w:t>
            </w:r>
          </w:p>
          <w:p w:rsidR="005325AC" w:rsidRPr="00227DC3" w:rsidRDefault="005325AC" w:rsidP="000D30D1">
            <w:pPr>
              <w:pStyle w:val="Corpodeltesto"/>
              <w:spacing w:after="0"/>
              <w:jc w:val="both"/>
              <w:rPr>
                <w:rFonts w:cs="DecimaWE Rg"/>
              </w:rPr>
            </w:pPr>
            <w:r w:rsidRPr="00227DC3">
              <w:rPr>
                <w:rFonts w:cs="DecimaWERg,Bold"/>
                <w:bCs/>
              </w:rPr>
              <w:t xml:space="preserve">Individuazione per i </w:t>
            </w:r>
            <w:proofErr w:type="spellStart"/>
            <w:r w:rsidRPr="00227DC3">
              <w:rPr>
                <w:rFonts w:cs="DecimaWERg,Bold"/>
                <w:bCs/>
              </w:rPr>
              <w:t>prescrittori</w:t>
            </w:r>
            <w:proofErr w:type="spellEnd"/>
            <w:r w:rsidRPr="00227DC3">
              <w:rPr>
                <w:rFonts w:cs="DecimaWERg,Bold"/>
                <w:bCs/>
              </w:rPr>
              <w:t xml:space="preserve"> (territoriali, specialistici, ospedalieri) di specifici obiettivi correlati all’uso appropriato e sostenibile dei medicinali e dei prodotti di assistenza integrativa</w:t>
            </w:r>
          </w:p>
        </w:tc>
      </w:tr>
      <w:tr w:rsidR="005325AC" w:rsidRPr="000C564F" w:rsidTr="000D30D1">
        <w:trPr>
          <w:jc w:val="center"/>
        </w:trPr>
        <w:tc>
          <w:tcPr>
            <w:tcW w:w="985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325AC" w:rsidRPr="00E11974" w:rsidRDefault="005325AC" w:rsidP="000D30D1">
            <w:pPr>
              <w:jc w:val="both"/>
              <w:outlineLvl w:val="0"/>
              <w:rPr>
                <w:rFonts w:cs="DecimaWE Rg"/>
                <w:b/>
                <w:bCs/>
              </w:rPr>
            </w:pPr>
            <w:r w:rsidRPr="00E11974">
              <w:rPr>
                <w:rFonts w:eastAsia="MS Mincho" w:cs="Calibri"/>
                <w:b/>
              </w:rPr>
              <w:t>Attuazione al 31.12.2015:</w:t>
            </w:r>
          </w:p>
          <w:p w:rsidR="005325AC" w:rsidRPr="00E11974" w:rsidRDefault="005325AC" w:rsidP="000D30D1">
            <w:pPr>
              <w:jc w:val="both"/>
              <w:outlineLvl w:val="0"/>
              <w:rPr>
                <w:rFonts w:cstheme="minorHAnsi"/>
                <w:bCs/>
              </w:rPr>
            </w:pPr>
            <w:r w:rsidRPr="00E11974">
              <w:rPr>
                <w:rFonts w:cstheme="minorHAnsi"/>
                <w:bCs/>
              </w:rPr>
              <w:t xml:space="preserve">In continuità con il 2014, nelle schede di budget delle strutture di oncologia e radioterapia è stato inserito un obiettivo di Adozione di politiche del farmaco con particolare riferimento ai farmaci ad alto costo in accordo al </w:t>
            </w:r>
            <w:proofErr w:type="spellStart"/>
            <w:r w:rsidRPr="00E11974">
              <w:rPr>
                <w:rFonts w:cstheme="minorHAnsi"/>
                <w:bCs/>
              </w:rPr>
              <w:t>Choosing</w:t>
            </w:r>
            <w:proofErr w:type="spellEnd"/>
            <w:r w:rsidRPr="00E11974">
              <w:rPr>
                <w:rFonts w:cstheme="minorHAnsi"/>
                <w:bCs/>
              </w:rPr>
              <w:t xml:space="preserve"> </w:t>
            </w:r>
            <w:proofErr w:type="spellStart"/>
            <w:r w:rsidRPr="00E11974">
              <w:rPr>
                <w:rFonts w:cstheme="minorHAnsi"/>
                <w:bCs/>
              </w:rPr>
              <w:t>Wisely</w:t>
            </w:r>
            <w:proofErr w:type="spellEnd"/>
            <w:r w:rsidRPr="00E11974">
              <w:rPr>
                <w:rFonts w:cstheme="minorHAnsi"/>
                <w:bCs/>
              </w:rPr>
              <w:t xml:space="preserve"> di ASCO. E’ quindi attivo un monitoraggio sull’applicazione delle LLGG, oltre al controllo della corrispondenza delle registrazioni tra prescrizioni G2clinico/PSM per i farmaci soggetti a registrazione </w:t>
            </w:r>
            <w:proofErr w:type="spellStart"/>
            <w:r w:rsidRPr="00E11974">
              <w:rPr>
                <w:rFonts w:cstheme="minorHAnsi"/>
                <w:bCs/>
              </w:rPr>
              <w:t>oncoaifa</w:t>
            </w:r>
            <w:proofErr w:type="spellEnd"/>
            <w:r w:rsidRPr="00E11974">
              <w:rPr>
                <w:rFonts w:cstheme="minorHAnsi"/>
                <w:bCs/>
              </w:rPr>
              <w:t>.</w:t>
            </w:r>
          </w:p>
        </w:tc>
      </w:tr>
      <w:tr w:rsidR="005325AC" w:rsidRPr="000C564F" w:rsidTr="000D3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trHeight w:val="917"/>
          <w:jc w:val="center"/>
        </w:trPr>
        <w:tc>
          <w:tcPr>
            <w:tcW w:w="4533" w:type="dxa"/>
            <w:tcBorders>
              <w:top w:val="single" w:sz="4" w:space="0" w:color="000000"/>
              <w:left w:val="single" w:sz="4" w:space="0" w:color="000000"/>
              <w:bottom w:val="single" w:sz="4" w:space="0" w:color="auto"/>
              <w:right w:val="single" w:sz="4" w:space="0" w:color="000000"/>
            </w:tcBorders>
            <w:shd w:val="clear" w:color="auto" w:fill="E6E6E6"/>
            <w:tcMar>
              <w:top w:w="0" w:type="dxa"/>
              <w:left w:w="108" w:type="dxa"/>
              <w:bottom w:w="0" w:type="dxa"/>
              <w:right w:w="108" w:type="dxa"/>
            </w:tcMar>
          </w:tcPr>
          <w:p w:rsidR="005325AC" w:rsidRPr="00441619" w:rsidRDefault="005325AC" w:rsidP="000D30D1">
            <w:pPr>
              <w:pStyle w:val="Corpodeltesto"/>
              <w:spacing w:after="0"/>
              <w:rPr>
                <w:rFonts w:cs="DecimaWE Rg"/>
                <w:b/>
              </w:rPr>
            </w:pPr>
            <w:r w:rsidRPr="00441619">
              <w:rPr>
                <w:rFonts w:cs="DecimaWE Rg"/>
                <w:b/>
              </w:rPr>
              <w:t>Obiettivo aziendale</w:t>
            </w:r>
          </w:p>
          <w:p w:rsidR="005325AC" w:rsidRPr="00227DC3" w:rsidRDefault="005325AC" w:rsidP="000D30D1">
            <w:pPr>
              <w:pStyle w:val="Corpodeltesto"/>
              <w:jc w:val="both"/>
            </w:pPr>
            <w:r w:rsidRPr="00227DC3">
              <w:t xml:space="preserve">Incentivazione dei </w:t>
            </w:r>
            <w:proofErr w:type="spellStart"/>
            <w:r w:rsidRPr="00227DC3">
              <w:t>biosimilari</w:t>
            </w:r>
            <w:proofErr w:type="spellEnd"/>
          </w:p>
          <w:p w:rsidR="005325AC" w:rsidRPr="00441619" w:rsidRDefault="005325AC" w:rsidP="000D30D1">
            <w:pPr>
              <w:pStyle w:val="Corpodeltesto"/>
              <w:spacing w:after="0"/>
              <w:rPr>
                <w:rFonts w:cs="DecimaWE Rg"/>
              </w:rPr>
            </w:pPr>
          </w:p>
        </w:tc>
        <w:tc>
          <w:tcPr>
            <w:tcW w:w="5321" w:type="dxa"/>
            <w:tcBorders>
              <w:top w:val="single" w:sz="4" w:space="0" w:color="000000"/>
              <w:left w:val="single" w:sz="4" w:space="0" w:color="000000"/>
              <w:bottom w:val="single" w:sz="4" w:space="0" w:color="auto"/>
              <w:right w:val="single" w:sz="4" w:space="0" w:color="000000"/>
            </w:tcBorders>
            <w:shd w:val="clear" w:color="auto" w:fill="E6E6E6"/>
            <w:tcMar>
              <w:top w:w="0" w:type="dxa"/>
              <w:left w:w="108" w:type="dxa"/>
              <w:bottom w:w="0" w:type="dxa"/>
              <w:right w:w="108" w:type="dxa"/>
            </w:tcMar>
          </w:tcPr>
          <w:p w:rsidR="005325AC" w:rsidRPr="00441619" w:rsidRDefault="005325AC" w:rsidP="000D30D1">
            <w:pPr>
              <w:pStyle w:val="Corpodeltesto"/>
              <w:spacing w:after="0"/>
              <w:ind w:left="-6"/>
              <w:jc w:val="both"/>
              <w:rPr>
                <w:rFonts w:cs="DecimaWE Rg"/>
              </w:rPr>
            </w:pPr>
            <w:r w:rsidRPr="00441619">
              <w:rPr>
                <w:rFonts w:cs="DecimaWE Rg"/>
                <w:b/>
              </w:rPr>
              <w:t>Risultato atteso</w:t>
            </w:r>
          </w:p>
          <w:p w:rsidR="005325AC" w:rsidRPr="00227DC3" w:rsidRDefault="005325AC" w:rsidP="000D30D1">
            <w:pPr>
              <w:pStyle w:val="Corpodeltesto"/>
              <w:spacing w:after="0"/>
              <w:jc w:val="both"/>
              <w:rPr>
                <w:rFonts w:cs="DecimaWE Rg"/>
              </w:rPr>
            </w:pPr>
            <w:r w:rsidRPr="00227DC3">
              <w:rPr>
                <w:rFonts w:cs="DecimaWERg,Bold"/>
                <w:bCs/>
              </w:rPr>
              <w:t xml:space="preserve">Aumento dei livelli prescrittivi, anche attraverso specifici protocolli condivisi H-T (si applica a tutti i </w:t>
            </w:r>
            <w:proofErr w:type="spellStart"/>
            <w:r w:rsidRPr="00227DC3">
              <w:rPr>
                <w:rFonts w:cs="DecimaWERg,Bold"/>
                <w:bCs/>
              </w:rPr>
              <w:t>biosimilari</w:t>
            </w:r>
            <w:proofErr w:type="spellEnd"/>
            <w:r w:rsidRPr="00227DC3">
              <w:rPr>
                <w:rFonts w:cs="DecimaWERg,Bold"/>
                <w:bCs/>
              </w:rPr>
              <w:t xml:space="preserve"> che si rendono disponibili sul mercato, prioritariamente a GH, ormone della crescita e fattori di crescita).</w:t>
            </w:r>
          </w:p>
        </w:tc>
      </w:tr>
      <w:tr w:rsidR="005325AC" w:rsidRPr="000C564F" w:rsidTr="000D30D1">
        <w:trPr>
          <w:jc w:val="center"/>
        </w:trPr>
        <w:tc>
          <w:tcPr>
            <w:tcW w:w="985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325AC" w:rsidRPr="00E11974" w:rsidRDefault="005325AC" w:rsidP="000D30D1">
            <w:pPr>
              <w:jc w:val="both"/>
              <w:outlineLvl w:val="0"/>
              <w:rPr>
                <w:rFonts w:eastAsia="MS Mincho" w:cs="Calibri"/>
                <w:b/>
              </w:rPr>
            </w:pPr>
            <w:r w:rsidRPr="00E11974">
              <w:rPr>
                <w:rFonts w:eastAsia="MS Mincho" w:cs="Calibri"/>
                <w:b/>
              </w:rPr>
              <w:t>Attuazione al 31.12.2015</w:t>
            </w:r>
          </w:p>
          <w:p w:rsidR="005325AC" w:rsidRPr="00E11974" w:rsidRDefault="005325AC" w:rsidP="000D30D1">
            <w:pPr>
              <w:jc w:val="both"/>
              <w:outlineLvl w:val="0"/>
              <w:rPr>
                <w:rFonts w:cstheme="minorHAnsi"/>
                <w:bCs/>
              </w:rPr>
            </w:pPr>
            <w:r w:rsidRPr="00E11974">
              <w:rPr>
                <w:rFonts w:cstheme="minorHAnsi"/>
                <w:bCs/>
              </w:rPr>
              <w:t xml:space="preserve">continua l'impiego dei </w:t>
            </w:r>
            <w:proofErr w:type="spellStart"/>
            <w:r w:rsidRPr="00E11974">
              <w:rPr>
                <w:rFonts w:cstheme="minorHAnsi"/>
                <w:bCs/>
              </w:rPr>
              <w:t>biosimilari</w:t>
            </w:r>
            <w:proofErr w:type="spellEnd"/>
            <w:r w:rsidRPr="00E11974">
              <w:rPr>
                <w:rFonts w:cstheme="minorHAnsi"/>
                <w:bCs/>
              </w:rPr>
              <w:t xml:space="preserve"> in ragione della disponibilità su mercato nazionale e ai provvedimenti di gara regionali, con assoluta prevalenza di consumi rispetto ai farmaci </w:t>
            </w:r>
            <w:proofErr w:type="spellStart"/>
            <w:r w:rsidRPr="00E11974">
              <w:rPr>
                <w:rFonts w:cstheme="minorHAnsi"/>
                <w:bCs/>
              </w:rPr>
              <w:t>branded</w:t>
            </w:r>
            <w:proofErr w:type="spellEnd"/>
            <w:r w:rsidRPr="00E11974">
              <w:rPr>
                <w:rFonts w:cstheme="minorHAnsi"/>
                <w:bCs/>
              </w:rPr>
              <w:t xml:space="preserve">, secondo linee di motivazione in adozione dal 2010. Il monitoraggio deriva da distribuzione con impiego esclusivo di PSM per residenti regionali e adozione di richieste nominative anche durante le degenze.  </w:t>
            </w:r>
          </w:p>
        </w:tc>
      </w:tr>
      <w:tr w:rsidR="005325AC" w:rsidRPr="00432201" w:rsidTr="000D3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trHeight w:val="917"/>
          <w:jc w:val="center"/>
        </w:trPr>
        <w:tc>
          <w:tcPr>
            <w:tcW w:w="4533" w:type="dxa"/>
            <w:tcBorders>
              <w:top w:val="single" w:sz="4" w:space="0" w:color="000000"/>
              <w:left w:val="single" w:sz="4" w:space="0" w:color="000000"/>
              <w:bottom w:val="single" w:sz="4" w:space="0" w:color="auto"/>
              <w:right w:val="single" w:sz="4" w:space="0" w:color="000000"/>
            </w:tcBorders>
            <w:shd w:val="clear" w:color="auto" w:fill="E6E6E6"/>
            <w:tcMar>
              <w:top w:w="0" w:type="dxa"/>
              <w:left w:w="108" w:type="dxa"/>
              <w:bottom w:w="0" w:type="dxa"/>
              <w:right w:w="108" w:type="dxa"/>
            </w:tcMar>
          </w:tcPr>
          <w:p w:rsidR="005325AC" w:rsidRPr="00432201" w:rsidRDefault="005325AC" w:rsidP="000D30D1">
            <w:pPr>
              <w:pStyle w:val="Corpodeltesto"/>
              <w:spacing w:after="0"/>
              <w:rPr>
                <w:rFonts w:cs="DecimaWE Rg"/>
                <w:b/>
              </w:rPr>
            </w:pPr>
            <w:r w:rsidRPr="00432201">
              <w:rPr>
                <w:rFonts w:cs="DecimaWE Rg"/>
                <w:b/>
              </w:rPr>
              <w:t>Obiettivo aziendale</w:t>
            </w:r>
          </w:p>
          <w:p w:rsidR="005325AC" w:rsidRPr="00227DC3" w:rsidRDefault="005325AC" w:rsidP="000D30D1">
            <w:pPr>
              <w:pStyle w:val="Corpodeltesto"/>
              <w:jc w:val="both"/>
            </w:pPr>
            <w:proofErr w:type="spellStart"/>
            <w:r w:rsidRPr="00227DC3">
              <w:t>Efficientamento</w:t>
            </w:r>
            <w:proofErr w:type="spellEnd"/>
            <w:r w:rsidRPr="00227DC3">
              <w:t xml:space="preserve"> della Distribuzione Diretta</w:t>
            </w:r>
          </w:p>
          <w:p w:rsidR="005325AC" w:rsidRPr="00432201" w:rsidRDefault="005325AC" w:rsidP="000D30D1">
            <w:pPr>
              <w:pStyle w:val="Corpodeltesto"/>
              <w:spacing w:after="0"/>
              <w:rPr>
                <w:rFonts w:cs="DecimaWE Rg"/>
              </w:rPr>
            </w:pPr>
          </w:p>
        </w:tc>
        <w:tc>
          <w:tcPr>
            <w:tcW w:w="5321" w:type="dxa"/>
            <w:tcBorders>
              <w:top w:val="single" w:sz="4" w:space="0" w:color="000000"/>
              <w:left w:val="single" w:sz="4" w:space="0" w:color="000000"/>
              <w:bottom w:val="single" w:sz="4" w:space="0" w:color="auto"/>
              <w:right w:val="single" w:sz="4" w:space="0" w:color="000000"/>
            </w:tcBorders>
            <w:shd w:val="clear" w:color="auto" w:fill="E6E6E6"/>
            <w:tcMar>
              <w:top w:w="0" w:type="dxa"/>
              <w:left w:w="108" w:type="dxa"/>
              <w:bottom w:w="0" w:type="dxa"/>
              <w:right w:w="108" w:type="dxa"/>
            </w:tcMar>
          </w:tcPr>
          <w:p w:rsidR="005325AC" w:rsidRPr="00432201" w:rsidRDefault="005325AC" w:rsidP="000D30D1">
            <w:pPr>
              <w:pStyle w:val="Corpodeltesto"/>
              <w:spacing w:after="0"/>
              <w:ind w:left="-6"/>
              <w:jc w:val="both"/>
              <w:rPr>
                <w:rFonts w:cs="DecimaWE Rg"/>
              </w:rPr>
            </w:pPr>
            <w:r w:rsidRPr="00432201">
              <w:rPr>
                <w:rFonts w:cs="DecimaWE Rg"/>
                <w:b/>
              </w:rPr>
              <w:t>Risultato atteso</w:t>
            </w:r>
          </w:p>
          <w:p w:rsidR="005325AC" w:rsidRPr="00227DC3" w:rsidRDefault="005325AC" w:rsidP="000D30D1">
            <w:pPr>
              <w:jc w:val="both"/>
              <w:rPr>
                <w:rFonts w:cs="DecimaWERg,Bold"/>
                <w:bCs/>
              </w:rPr>
            </w:pPr>
            <w:r w:rsidRPr="00227DC3">
              <w:rPr>
                <w:rFonts w:cs="DecimaWERg,Bold"/>
                <w:bCs/>
              </w:rPr>
              <w:t>Favorire la prescrizione dei medicinali aggiudicatari di gara e introdurre opportuni sistemi di monitoraggio, coinvolgendo tutti gli specialisti interessati (compresi AOU e IRCCS)</w:t>
            </w:r>
          </w:p>
          <w:p w:rsidR="005325AC" w:rsidRPr="00432201" w:rsidRDefault="005325AC" w:rsidP="000D30D1">
            <w:pPr>
              <w:pStyle w:val="Corpodeltesto"/>
              <w:spacing w:after="0"/>
              <w:jc w:val="both"/>
              <w:rPr>
                <w:rFonts w:cs="DecimaWE Rg"/>
              </w:rPr>
            </w:pPr>
            <w:r w:rsidRPr="00227DC3">
              <w:rPr>
                <w:rFonts w:cs="DecimaWERg,Bold"/>
                <w:bCs/>
              </w:rPr>
              <w:t>(condivisione dell’elenco dei farmaci prescrivibili in DPC con gli specialisti e monitoraggio del ricorso alla clausola di non sostituibilità)</w:t>
            </w:r>
          </w:p>
        </w:tc>
      </w:tr>
      <w:tr w:rsidR="005325AC" w:rsidRPr="0030525A" w:rsidTr="000D30D1">
        <w:trPr>
          <w:jc w:val="center"/>
        </w:trPr>
        <w:tc>
          <w:tcPr>
            <w:tcW w:w="985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325AC" w:rsidRPr="00432201" w:rsidRDefault="005325AC" w:rsidP="000D30D1">
            <w:pPr>
              <w:jc w:val="both"/>
              <w:outlineLvl w:val="0"/>
              <w:rPr>
                <w:rFonts w:eastAsia="MS Mincho" w:cs="Calibri"/>
                <w:b/>
              </w:rPr>
            </w:pPr>
            <w:r>
              <w:rPr>
                <w:rFonts w:eastAsia="MS Mincho" w:cs="Calibri"/>
                <w:b/>
              </w:rPr>
              <w:t>Attuazione al 31.12.2015</w:t>
            </w:r>
          </w:p>
          <w:p w:rsidR="005325AC" w:rsidRPr="005A6EC4" w:rsidRDefault="005325AC" w:rsidP="000D30D1">
            <w:pPr>
              <w:jc w:val="both"/>
              <w:outlineLvl w:val="0"/>
              <w:rPr>
                <w:rFonts w:cstheme="minorHAnsi"/>
                <w:bCs/>
              </w:rPr>
            </w:pPr>
            <w:r>
              <w:rPr>
                <w:rFonts w:cstheme="minorHAnsi"/>
                <w:bCs/>
              </w:rPr>
              <w:t xml:space="preserve">In distribuzione diretta si utilizzano tutti i farmaci disponibili a </w:t>
            </w:r>
            <w:proofErr w:type="spellStart"/>
            <w:r>
              <w:rPr>
                <w:rFonts w:cstheme="minorHAnsi"/>
                <w:bCs/>
              </w:rPr>
              <w:t>Egas</w:t>
            </w:r>
            <w:proofErr w:type="spellEnd"/>
            <w:r>
              <w:rPr>
                <w:rFonts w:cstheme="minorHAnsi"/>
                <w:bCs/>
              </w:rPr>
              <w:t xml:space="preserve"> e quindi aggiudicatari di gara. Nel caso di farmaci non disponibili a </w:t>
            </w:r>
            <w:proofErr w:type="spellStart"/>
            <w:r>
              <w:rPr>
                <w:rFonts w:cstheme="minorHAnsi"/>
                <w:bCs/>
              </w:rPr>
              <w:t>Egas</w:t>
            </w:r>
            <w:proofErr w:type="spellEnd"/>
            <w:r>
              <w:rPr>
                <w:rFonts w:cstheme="minorHAnsi"/>
                <w:bCs/>
              </w:rPr>
              <w:t xml:space="preserve">, si distribuiscono quelli registrati in </w:t>
            </w:r>
            <w:proofErr w:type="spellStart"/>
            <w:r>
              <w:rPr>
                <w:rFonts w:cstheme="minorHAnsi"/>
                <w:bCs/>
              </w:rPr>
              <w:t>Oncoaifa</w:t>
            </w:r>
            <w:proofErr w:type="spellEnd"/>
            <w:r>
              <w:rPr>
                <w:rFonts w:cstheme="minorHAnsi"/>
                <w:bCs/>
              </w:rPr>
              <w:t xml:space="preserve"> a produttore unico con prezzo </w:t>
            </w:r>
            <w:r>
              <w:rPr>
                <w:rFonts w:cstheme="minorHAnsi"/>
                <w:bCs/>
              </w:rPr>
              <w:lastRenderedPageBreak/>
              <w:t xml:space="preserve">determinato da AIFA. I dati al 30 settembre 2015 elaborati dall’AAS 5 evidenziano che gli specialisti non fanno ricorso alla clausola di non sostituibilità. </w:t>
            </w:r>
          </w:p>
        </w:tc>
      </w:tr>
      <w:tr w:rsidR="005325AC" w:rsidRPr="00432201" w:rsidTr="000D3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194"/>
          <w:jc w:val="center"/>
        </w:trPr>
        <w:tc>
          <w:tcPr>
            <w:tcW w:w="98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5325AC" w:rsidRPr="00432201" w:rsidRDefault="005325AC" w:rsidP="000D30D1">
            <w:pPr>
              <w:jc w:val="both"/>
              <w:rPr>
                <w:rFonts w:eastAsia="MS Mincho"/>
              </w:rPr>
            </w:pPr>
            <w:r w:rsidRPr="00432201">
              <w:rPr>
                <w:rFonts w:cs="DecimaWE Rg"/>
                <w:b/>
                <w:bCs/>
              </w:rPr>
              <w:lastRenderedPageBreak/>
              <w:t xml:space="preserve">Linea </w:t>
            </w:r>
            <w:r w:rsidRPr="00432201">
              <w:rPr>
                <w:rFonts w:cs="DecimaWERg"/>
                <w:b/>
              </w:rPr>
              <w:t>progettuale</w:t>
            </w:r>
            <w:r w:rsidRPr="00432201">
              <w:rPr>
                <w:rFonts w:cs="DecimaWE Rg"/>
                <w:b/>
                <w:bCs/>
              </w:rPr>
              <w:t xml:space="preserve"> n. 3.7.1 Rischio amministrativo</w:t>
            </w:r>
          </w:p>
        </w:tc>
      </w:tr>
      <w:tr w:rsidR="005325AC" w:rsidRPr="00432201" w:rsidTr="000D30D1">
        <w:trPr>
          <w:trHeight w:val="60"/>
          <w:jc w:val="center"/>
        </w:trPr>
        <w:tc>
          <w:tcPr>
            <w:tcW w:w="4533" w:type="dxa"/>
            <w:tcBorders>
              <w:top w:val="single" w:sz="4" w:space="0" w:color="auto"/>
              <w:left w:val="single" w:sz="4" w:space="0" w:color="auto"/>
              <w:bottom w:val="single" w:sz="4" w:space="0" w:color="auto"/>
              <w:right w:val="single" w:sz="4" w:space="0" w:color="auto"/>
            </w:tcBorders>
            <w:shd w:val="clear" w:color="auto" w:fill="E0E0E0"/>
          </w:tcPr>
          <w:p w:rsidR="005325AC" w:rsidRPr="00432201" w:rsidRDefault="005325AC" w:rsidP="000D30D1">
            <w:pPr>
              <w:jc w:val="both"/>
              <w:rPr>
                <w:rFonts w:eastAsia="Times New Roman"/>
                <w:b/>
                <w:lang w:eastAsia="it-IT"/>
              </w:rPr>
            </w:pPr>
            <w:r w:rsidRPr="00432201">
              <w:rPr>
                <w:rFonts w:eastAsia="Times New Roman"/>
                <w:b/>
                <w:lang w:eastAsia="it-IT"/>
              </w:rPr>
              <w:t>Obiettivo aziendale</w:t>
            </w:r>
          </w:p>
          <w:p w:rsidR="005325AC" w:rsidRPr="00432201" w:rsidRDefault="005325AC" w:rsidP="000D30D1">
            <w:pPr>
              <w:jc w:val="both"/>
              <w:rPr>
                <w:rFonts w:eastAsia="Times New Roman"/>
                <w:lang w:eastAsia="it-IT"/>
              </w:rPr>
            </w:pPr>
            <w:r w:rsidRPr="00432201">
              <w:rPr>
                <w:rFonts w:eastAsia="Times New Roman"/>
                <w:lang w:eastAsia="it-IT"/>
              </w:rPr>
              <w:t>rilevazione ed individuazione dei principali rischi amministrativi</w:t>
            </w:r>
          </w:p>
          <w:p w:rsidR="005325AC" w:rsidRPr="00432201" w:rsidRDefault="005325AC" w:rsidP="000D30D1">
            <w:pPr>
              <w:jc w:val="both"/>
              <w:rPr>
                <w:rFonts w:eastAsia="Times New Roman"/>
                <w:lang w:eastAsia="it-IT"/>
              </w:rPr>
            </w:pPr>
          </w:p>
        </w:tc>
        <w:tc>
          <w:tcPr>
            <w:tcW w:w="5321" w:type="dxa"/>
            <w:tcBorders>
              <w:top w:val="single" w:sz="4" w:space="0" w:color="auto"/>
              <w:left w:val="single" w:sz="4" w:space="0" w:color="auto"/>
              <w:bottom w:val="single" w:sz="4" w:space="0" w:color="auto"/>
              <w:right w:val="single" w:sz="4" w:space="0" w:color="auto"/>
            </w:tcBorders>
            <w:shd w:val="clear" w:color="auto" w:fill="E0E0E0"/>
          </w:tcPr>
          <w:p w:rsidR="005325AC" w:rsidRPr="00432201" w:rsidRDefault="005325AC" w:rsidP="000D30D1">
            <w:pPr>
              <w:jc w:val="both"/>
              <w:rPr>
                <w:rFonts w:eastAsia="Times New Roman"/>
                <w:b/>
                <w:lang w:eastAsia="it-IT"/>
              </w:rPr>
            </w:pPr>
            <w:r w:rsidRPr="00432201">
              <w:rPr>
                <w:rFonts w:eastAsia="Times New Roman"/>
                <w:b/>
                <w:lang w:eastAsia="it-IT"/>
              </w:rPr>
              <w:t>Risultato atteso</w:t>
            </w:r>
          </w:p>
          <w:p w:rsidR="005325AC" w:rsidRPr="00432201" w:rsidRDefault="005325AC" w:rsidP="000D30D1">
            <w:pPr>
              <w:jc w:val="both"/>
              <w:rPr>
                <w:rFonts w:eastAsia="Times New Roman"/>
                <w:lang w:eastAsia="it-IT"/>
              </w:rPr>
            </w:pPr>
            <w:r w:rsidRPr="00432201">
              <w:rPr>
                <w:rFonts w:eastAsia="Times New Roman"/>
                <w:lang w:eastAsia="it-IT"/>
              </w:rPr>
              <w:t>collaborazione alla rilevazione ed individuazione dei principali rischi amministrativi, in particolare nei seguenti settori:</w:t>
            </w:r>
          </w:p>
          <w:p w:rsidR="005325AC" w:rsidRPr="00432201" w:rsidRDefault="005325AC" w:rsidP="000D30D1">
            <w:pPr>
              <w:jc w:val="both"/>
              <w:rPr>
                <w:rFonts w:eastAsia="Times New Roman"/>
                <w:lang w:eastAsia="it-IT"/>
              </w:rPr>
            </w:pPr>
            <w:r w:rsidRPr="00432201">
              <w:rPr>
                <w:rFonts w:eastAsia="Times New Roman"/>
                <w:lang w:eastAsia="it-IT"/>
              </w:rPr>
              <w:t>-acquisizione, gestione, valutazione del personale</w:t>
            </w:r>
          </w:p>
          <w:p w:rsidR="005325AC" w:rsidRPr="00432201" w:rsidRDefault="005325AC" w:rsidP="000D30D1">
            <w:pPr>
              <w:spacing w:line="60" w:lineRule="atLeast"/>
              <w:jc w:val="both"/>
              <w:rPr>
                <w:rFonts w:eastAsia="Times New Roman"/>
                <w:lang w:eastAsia="it-IT"/>
              </w:rPr>
            </w:pPr>
            <w:r w:rsidRPr="00432201">
              <w:rPr>
                <w:rFonts w:eastAsia="Times New Roman"/>
                <w:lang w:eastAsia="it-IT"/>
              </w:rPr>
              <w:t>- acquisizione e gestione di beni e servizi sanitari e non sanitari</w:t>
            </w:r>
          </w:p>
          <w:p w:rsidR="005325AC" w:rsidRPr="00432201" w:rsidRDefault="005325AC" w:rsidP="000D30D1">
            <w:pPr>
              <w:spacing w:line="60" w:lineRule="atLeast"/>
              <w:jc w:val="both"/>
              <w:rPr>
                <w:rFonts w:eastAsia="Times New Roman"/>
                <w:lang w:eastAsia="it-IT"/>
              </w:rPr>
            </w:pPr>
            <w:r w:rsidRPr="00432201">
              <w:rPr>
                <w:rFonts w:eastAsia="Times New Roman"/>
                <w:lang w:eastAsia="it-IT"/>
              </w:rPr>
              <w:t>- affidamento lavori, servizi e forniture,</w:t>
            </w:r>
          </w:p>
          <w:p w:rsidR="005325AC" w:rsidRPr="00432201" w:rsidRDefault="005325AC" w:rsidP="000D30D1">
            <w:pPr>
              <w:spacing w:line="60" w:lineRule="atLeast"/>
              <w:jc w:val="both"/>
              <w:rPr>
                <w:rFonts w:eastAsia="Times New Roman"/>
                <w:lang w:eastAsia="it-IT"/>
              </w:rPr>
            </w:pPr>
            <w:r w:rsidRPr="00432201">
              <w:rPr>
                <w:rFonts w:eastAsia="Times New Roman"/>
                <w:lang w:eastAsia="it-IT"/>
              </w:rPr>
              <w:t>- provvedimenti con effetto esterno di spesa</w:t>
            </w:r>
          </w:p>
          <w:p w:rsidR="005325AC" w:rsidRPr="00432201" w:rsidRDefault="005325AC" w:rsidP="000D30D1">
            <w:pPr>
              <w:spacing w:line="60" w:lineRule="atLeast"/>
              <w:jc w:val="both"/>
              <w:rPr>
                <w:rFonts w:eastAsia="Times New Roman"/>
                <w:lang w:eastAsia="it-IT"/>
              </w:rPr>
            </w:pPr>
            <w:r w:rsidRPr="00432201">
              <w:rPr>
                <w:rFonts w:eastAsia="Times New Roman"/>
                <w:lang w:eastAsia="it-IT"/>
              </w:rPr>
              <w:t>- libera professione</w:t>
            </w:r>
          </w:p>
        </w:tc>
      </w:tr>
      <w:tr w:rsidR="005325AC" w:rsidRPr="0030525A" w:rsidTr="000D30D1">
        <w:trPr>
          <w:jc w:val="center"/>
        </w:trPr>
        <w:tc>
          <w:tcPr>
            <w:tcW w:w="985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325AC" w:rsidRPr="00432201" w:rsidRDefault="005325AC" w:rsidP="000D30D1">
            <w:pPr>
              <w:jc w:val="both"/>
              <w:outlineLvl w:val="0"/>
              <w:rPr>
                <w:rFonts w:eastAsia="MS Mincho" w:cs="Calibri"/>
                <w:b/>
              </w:rPr>
            </w:pPr>
            <w:r>
              <w:rPr>
                <w:rFonts w:eastAsia="MS Mincho" w:cs="Calibri"/>
                <w:b/>
              </w:rPr>
              <w:t>Attuazione al 31.12.2015</w:t>
            </w:r>
          </w:p>
          <w:p w:rsidR="005325AC" w:rsidRPr="00432201" w:rsidRDefault="005325AC" w:rsidP="000D30D1">
            <w:pPr>
              <w:jc w:val="both"/>
              <w:outlineLvl w:val="0"/>
              <w:rPr>
                <w:rFonts w:cs="DecimaWE Rg"/>
                <w:b/>
                <w:bCs/>
              </w:rPr>
            </w:pPr>
            <w:r w:rsidRPr="00432201">
              <w:rPr>
                <w:rFonts w:cs="DecimaWE Rg"/>
                <w:b/>
                <w:bCs/>
              </w:rPr>
              <w:t>L’attività aziendale è in linea:</w:t>
            </w:r>
          </w:p>
          <w:p w:rsidR="005325AC" w:rsidRPr="00432201" w:rsidRDefault="005325AC" w:rsidP="000D30D1">
            <w:pPr>
              <w:jc w:val="both"/>
              <w:rPr>
                <w:bCs/>
              </w:rPr>
            </w:pPr>
            <w:r w:rsidRPr="00432201">
              <w:rPr>
                <w:bCs/>
              </w:rPr>
              <w:t>L’istituto ha effettuato la mappatura dei rischi connessi all’attività amministrativa in attuazione alla legge n. 190/2012.</w:t>
            </w:r>
          </w:p>
        </w:tc>
      </w:tr>
      <w:tr w:rsidR="005325AC" w:rsidRPr="0030525A" w:rsidTr="000D3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194"/>
          <w:jc w:val="center"/>
        </w:trPr>
        <w:tc>
          <w:tcPr>
            <w:tcW w:w="98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5325AC" w:rsidRPr="0030525A" w:rsidRDefault="005325AC" w:rsidP="000D30D1">
            <w:pPr>
              <w:jc w:val="both"/>
              <w:rPr>
                <w:rFonts w:eastAsia="MS Mincho"/>
              </w:rPr>
            </w:pPr>
            <w:r w:rsidRPr="0030525A">
              <w:rPr>
                <w:rFonts w:cs="DecimaWE Rg"/>
                <w:b/>
                <w:bCs/>
              </w:rPr>
              <w:t xml:space="preserve">Linea </w:t>
            </w:r>
            <w:r w:rsidRPr="0030525A">
              <w:rPr>
                <w:rFonts w:cs="DecimaWERg"/>
                <w:b/>
              </w:rPr>
              <w:t>progettuale</w:t>
            </w:r>
            <w:r w:rsidRPr="0030525A">
              <w:rPr>
                <w:rFonts w:cs="DecimaWE Rg"/>
                <w:b/>
                <w:bCs/>
              </w:rPr>
              <w:t xml:space="preserve"> n. 3.7.2 Sistema informativo</w:t>
            </w:r>
          </w:p>
        </w:tc>
      </w:tr>
      <w:tr w:rsidR="005325AC" w:rsidRPr="0030525A" w:rsidTr="000D30D1">
        <w:trPr>
          <w:trHeight w:val="60"/>
          <w:jc w:val="center"/>
        </w:trPr>
        <w:tc>
          <w:tcPr>
            <w:tcW w:w="4533" w:type="dxa"/>
            <w:tcBorders>
              <w:top w:val="single" w:sz="4" w:space="0" w:color="auto"/>
              <w:left w:val="single" w:sz="4" w:space="0" w:color="auto"/>
              <w:bottom w:val="single" w:sz="4" w:space="0" w:color="auto"/>
              <w:right w:val="single" w:sz="4" w:space="0" w:color="auto"/>
            </w:tcBorders>
            <w:shd w:val="clear" w:color="auto" w:fill="E0E0E0"/>
          </w:tcPr>
          <w:p w:rsidR="005325AC" w:rsidRPr="009C1F6D" w:rsidRDefault="005325AC" w:rsidP="000D30D1">
            <w:pPr>
              <w:jc w:val="both"/>
              <w:rPr>
                <w:rFonts w:eastAsia="Times New Roman"/>
                <w:b/>
                <w:lang w:eastAsia="it-IT"/>
              </w:rPr>
            </w:pPr>
            <w:r w:rsidRPr="009C1F6D">
              <w:rPr>
                <w:rFonts w:eastAsia="Times New Roman"/>
                <w:b/>
                <w:lang w:eastAsia="it-IT"/>
              </w:rPr>
              <w:t>Obiettivo aziendale</w:t>
            </w:r>
          </w:p>
          <w:p w:rsidR="005325AC" w:rsidRPr="00227DC3" w:rsidRDefault="005325AC" w:rsidP="000D30D1">
            <w:pPr>
              <w:jc w:val="both"/>
              <w:rPr>
                <w:rFonts w:eastAsia="Times New Roman"/>
                <w:lang w:eastAsia="it-IT"/>
              </w:rPr>
            </w:pPr>
            <w:r w:rsidRPr="00227DC3">
              <w:rPr>
                <w:rFonts w:ascii="DecimaWE Rg" w:hAnsi="DecimaWE Rg"/>
                <w:bCs/>
              </w:rPr>
              <w:t>Completare l’avviamento dei servizi online per il cittadino</w:t>
            </w:r>
          </w:p>
        </w:tc>
        <w:tc>
          <w:tcPr>
            <w:tcW w:w="5321" w:type="dxa"/>
            <w:tcBorders>
              <w:top w:val="single" w:sz="4" w:space="0" w:color="auto"/>
              <w:left w:val="single" w:sz="4" w:space="0" w:color="auto"/>
              <w:bottom w:val="single" w:sz="4" w:space="0" w:color="auto"/>
              <w:right w:val="single" w:sz="4" w:space="0" w:color="auto"/>
            </w:tcBorders>
            <w:shd w:val="clear" w:color="auto" w:fill="E0E0E0"/>
          </w:tcPr>
          <w:p w:rsidR="005325AC" w:rsidRPr="009C1F6D" w:rsidRDefault="005325AC" w:rsidP="000D30D1">
            <w:pPr>
              <w:jc w:val="both"/>
              <w:rPr>
                <w:rFonts w:eastAsia="Times New Roman"/>
                <w:b/>
                <w:lang w:eastAsia="it-IT"/>
              </w:rPr>
            </w:pPr>
            <w:r w:rsidRPr="009C1F6D">
              <w:rPr>
                <w:rFonts w:eastAsia="Times New Roman"/>
                <w:b/>
                <w:lang w:eastAsia="it-IT"/>
              </w:rPr>
              <w:t>Risultato atteso</w:t>
            </w:r>
          </w:p>
          <w:p w:rsidR="005325AC" w:rsidRPr="00227DC3" w:rsidRDefault="005325AC" w:rsidP="000D30D1">
            <w:pPr>
              <w:spacing w:line="60" w:lineRule="atLeast"/>
              <w:jc w:val="both"/>
              <w:rPr>
                <w:rFonts w:eastAsia="Times New Roman"/>
                <w:lang w:eastAsia="it-IT"/>
              </w:rPr>
            </w:pPr>
            <w:r w:rsidRPr="00227DC3">
              <w:rPr>
                <w:rFonts w:ascii="DecimaWE Rg" w:hAnsi="DecimaWE Rg"/>
                <w:bCs/>
              </w:rPr>
              <w:t xml:space="preserve">Sviluppare e implementare alcuni servizi prioritari per il cittadino (referti on </w:t>
            </w:r>
            <w:proofErr w:type="spellStart"/>
            <w:r w:rsidRPr="00227DC3">
              <w:rPr>
                <w:rFonts w:ascii="DecimaWE Rg" w:hAnsi="DecimaWE Rg"/>
                <w:bCs/>
              </w:rPr>
              <w:t>line</w:t>
            </w:r>
            <w:proofErr w:type="spellEnd"/>
            <w:r w:rsidRPr="00227DC3">
              <w:rPr>
                <w:rFonts w:ascii="DecimaWE Rg" w:hAnsi="DecimaWE Rg"/>
                <w:bCs/>
              </w:rPr>
              <w:t xml:space="preserve">, pagamento on </w:t>
            </w:r>
            <w:proofErr w:type="spellStart"/>
            <w:r w:rsidRPr="00227DC3">
              <w:rPr>
                <w:rFonts w:ascii="DecimaWE Rg" w:hAnsi="DecimaWE Rg"/>
                <w:bCs/>
              </w:rPr>
              <w:t>line</w:t>
            </w:r>
            <w:proofErr w:type="spellEnd"/>
            <w:r w:rsidRPr="00227DC3">
              <w:rPr>
                <w:rFonts w:ascii="DecimaWE Rg" w:hAnsi="DecimaWE Rg"/>
                <w:bCs/>
              </w:rPr>
              <w:t xml:space="preserve">, prenotazione on </w:t>
            </w:r>
            <w:proofErr w:type="spellStart"/>
            <w:r w:rsidRPr="00227DC3">
              <w:rPr>
                <w:rFonts w:ascii="DecimaWE Rg" w:hAnsi="DecimaWE Rg"/>
                <w:bCs/>
              </w:rPr>
              <w:t>line</w:t>
            </w:r>
            <w:proofErr w:type="spellEnd"/>
            <w:r w:rsidRPr="00227DC3">
              <w:rPr>
                <w:rFonts w:ascii="DecimaWE Rg" w:hAnsi="DecimaWE Rg"/>
                <w:bCs/>
              </w:rPr>
              <w:t>, consultazione liste attesa), sulla base della tempistica regionale</w:t>
            </w:r>
          </w:p>
        </w:tc>
      </w:tr>
      <w:tr w:rsidR="005325AC" w:rsidRPr="0030525A" w:rsidTr="000D30D1">
        <w:trPr>
          <w:jc w:val="center"/>
        </w:trPr>
        <w:tc>
          <w:tcPr>
            <w:tcW w:w="985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325AC" w:rsidRDefault="005325AC" w:rsidP="000D30D1">
            <w:pPr>
              <w:jc w:val="both"/>
              <w:outlineLvl w:val="0"/>
              <w:rPr>
                <w:rFonts w:eastAsia="MS Mincho" w:cs="Calibri"/>
                <w:b/>
              </w:rPr>
            </w:pPr>
            <w:r>
              <w:rPr>
                <w:rFonts w:eastAsia="MS Mincho" w:cs="Calibri"/>
                <w:b/>
              </w:rPr>
              <w:t>Attuazione al 31.12.2015</w:t>
            </w:r>
          </w:p>
          <w:p w:rsidR="005325AC" w:rsidRPr="00626143" w:rsidRDefault="005325AC" w:rsidP="000D30D1">
            <w:pPr>
              <w:jc w:val="both"/>
              <w:rPr>
                <w:color w:val="FF0000"/>
              </w:rPr>
            </w:pPr>
            <w:r w:rsidRPr="00312C27">
              <w:rPr>
                <w:bCs/>
              </w:rPr>
              <w:t xml:space="preserve">Sono stati attivati secondo le indicazioni e tempistiche regionali i servizi di prenotazione on </w:t>
            </w:r>
            <w:proofErr w:type="spellStart"/>
            <w:r w:rsidRPr="00312C27">
              <w:rPr>
                <w:bCs/>
              </w:rPr>
              <w:t>line</w:t>
            </w:r>
            <w:proofErr w:type="spellEnd"/>
            <w:r w:rsidRPr="00312C27">
              <w:rPr>
                <w:bCs/>
              </w:rPr>
              <w:t xml:space="preserve">, consultazione liste attesa </w:t>
            </w:r>
            <w:r>
              <w:rPr>
                <w:bCs/>
              </w:rPr>
              <w:t>e pagamenti on-line</w:t>
            </w:r>
            <w:r w:rsidRPr="00363465">
              <w:rPr>
                <w:bCs/>
                <w:color w:val="000000" w:themeColor="text1"/>
              </w:rPr>
              <w:t xml:space="preserve">. Sui referti on </w:t>
            </w:r>
            <w:proofErr w:type="spellStart"/>
            <w:r w:rsidRPr="00363465">
              <w:rPr>
                <w:bCs/>
                <w:color w:val="000000" w:themeColor="text1"/>
              </w:rPr>
              <w:t>line</w:t>
            </w:r>
            <w:proofErr w:type="spellEnd"/>
            <w:r w:rsidRPr="00363465">
              <w:rPr>
                <w:bCs/>
                <w:color w:val="000000" w:themeColor="text1"/>
              </w:rPr>
              <w:t xml:space="preserve"> si resta in attesa di indicazioni regionali, al 31.12.2015 non sono state avviate attività a livello regionale</w:t>
            </w:r>
            <w:r>
              <w:rPr>
                <w:color w:val="FF0000"/>
              </w:rPr>
              <w:t>.</w:t>
            </w:r>
          </w:p>
        </w:tc>
      </w:tr>
      <w:tr w:rsidR="005325AC" w:rsidRPr="0030525A" w:rsidTr="000D30D1">
        <w:trPr>
          <w:trHeight w:val="60"/>
          <w:jc w:val="center"/>
        </w:trPr>
        <w:tc>
          <w:tcPr>
            <w:tcW w:w="4533" w:type="dxa"/>
            <w:tcBorders>
              <w:top w:val="single" w:sz="4" w:space="0" w:color="auto"/>
              <w:left w:val="single" w:sz="4" w:space="0" w:color="auto"/>
              <w:bottom w:val="single" w:sz="4" w:space="0" w:color="auto"/>
              <w:right w:val="single" w:sz="4" w:space="0" w:color="auto"/>
            </w:tcBorders>
            <w:shd w:val="clear" w:color="auto" w:fill="E0E0E0"/>
          </w:tcPr>
          <w:p w:rsidR="005325AC" w:rsidRPr="00227DC3" w:rsidRDefault="005325AC" w:rsidP="000D30D1">
            <w:pPr>
              <w:jc w:val="both"/>
              <w:rPr>
                <w:rFonts w:eastAsia="Times New Roman"/>
                <w:b/>
                <w:lang w:eastAsia="it-IT"/>
              </w:rPr>
            </w:pPr>
            <w:r w:rsidRPr="00227DC3">
              <w:rPr>
                <w:rFonts w:eastAsia="Times New Roman"/>
                <w:b/>
                <w:lang w:eastAsia="it-IT"/>
              </w:rPr>
              <w:t>Obiettivo aziendale</w:t>
            </w:r>
          </w:p>
          <w:p w:rsidR="005325AC" w:rsidRPr="00227DC3" w:rsidRDefault="005325AC" w:rsidP="000D30D1">
            <w:pPr>
              <w:jc w:val="both"/>
            </w:pPr>
            <w:r w:rsidRPr="00227DC3">
              <w:t>Prosecuzione progetti avviati negli anni precedenti, in tema di:</w:t>
            </w:r>
          </w:p>
          <w:p w:rsidR="005325AC" w:rsidRPr="00227DC3" w:rsidRDefault="005325AC" w:rsidP="008A29F1">
            <w:pPr>
              <w:pStyle w:val="Paragrafoelenco"/>
              <w:numPr>
                <w:ilvl w:val="0"/>
                <w:numId w:val="18"/>
              </w:numPr>
              <w:spacing w:after="0" w:line="240" w:lineRule="auto"/>
              <w:ind w:left="0" w:firstLine="0"/>
              <w:contextualSpacing w:val="0"/>
              <w:jc w:val="both"/>
            </w:pPr>
            <w:r w:rsidRPr="00227DC3">
              <w:t>Sicurezza</w:t>
            </w:r>
          </w:p>
          <w:p w:rsidR="005325AC" w:rsidRPr="00227DC3" w:rsidRDefault="005325AC" w:rsidP="008A29F1">
            <w:pPr>
              <w:pStyle w:val="Paragrafoelenco"/>
              <w:numPr>
                <w:ilvl w:val="0"/>
                <w:numId w:val="18"/>
              </w:numPr>
              <w:spacing w:after="0" w:line="240" w:lineRule="auto"/>
              <w:ind w:left="0" w:firstLine="0"/>
              <w:contextualSpacing w:val="0"/>
              <w:jc w:val="both"/>
            </w:pPr>
            <w:r w:rsidRPr="00227DC3">
              <w:t>Privacy</w:t>
            </w:r>
          </w:p>
          <w:p w:rsidR="005325AC" w:rsidRPr="00227DC3" w:rsidRDefault="005325AC" w:rsidP="000D30D1">
            <w:pPr>
              <w:jc w:val="both"/>
              <w:rPr>
                <w:rFonts w:eastAsia="Times New Roman"/>
                <w:lang w:eastAsia="it-IT"/>
              </w:rPr>
            </w:pPr>
          </w:p>
        </w:tc>
        <w:tc>
          <w:tcPr>
            <w:tcW w:w="5321" w:type="dxa"/>
            <w:tcBorders>
              <w:top w:val="single" w:sz="4" w:space="0" w:color="auto"/>
              <w:left w:val="single" w:sz="4" w:space="0" w:color="auto"/>
              <w:bottom w:val="single" w:sz="4" w:space="0" w:color="auto"/>
              <w:right w:val="single" w:sz="4" w:space="0" w:color="auto"/>
            </w:tcBorders>
            <w:shd w:val="clear" w:color="auto" w:fill="E0E0E0"/>
          </w:tcPr>
          <w:p w:rsidR="005325AC" w:rsidRPr="00227DC3" w:rsidRDefault="005325AC" w:rsidP="000D30D1">
            <w:pPr>
              <w:jc w:val="both"/>
              <w:rPr>
                <w:rFonts w:eastAsia="Times New Roman"/>
                <w:b/>
                <w:lang w:eastAsia="it-IT"/>
              </w:rPr>
            </w:pPr>
            <w:r w:rsidRPr="00227DC3">
              <w:rPr>
                <w:rFonts w:eastAsia="Times New Roman"/>
                <w:b/>
                <w:lang w:eastAsia="it-IT"/>
              </w:rPr>
              <w:t>Risultato atteso</w:t>
            </w:r>
          </w:p>
          <w:p w:rsidR="005325AC" w:rsidRPr="00227DC3" w:rsidRDefault="005325AC" w:rsidP="008A29F1">
            <w:pPr>
              <w:pStyle w:val="Paragrafoelenco"/>
              <w:numPr>
                <w:ilvl w:val="0"/>
                <w:numId w:val="19"/>
              </w:numPr>
              <w:spacing w:after="0" w:line="240" w:lineRule="auto"/>
              <w:ind w:left="0" w:firstLine="0"/>
              <w:contextualSpacing w:val="0"/>
              <w:jc w:val="both"/>
            </w:pPr>
            <w:r w:rsidRPr="00227DC3">
              <w:t>Sicurezza: uniformità in azienda dei documenti previsti per la sicurezza. Ottimizzazione delle procedure di revisione dei referti già firmati.</w:t>
            </w:r>
          </w:p>
          <w:p w:rsidR="005325AC" w:rsidRPr="00227DC3" w:rsidRDefault="005325AC" w:rsidP="008A29F1">
            <w:pPr>
              <w:pStyle w:val="Paragrafoelenco"/>
              <w:numPr>
                <w:ilvl w:val="0"/>
                <w:numId w:val="19"/>
              </w:numPr>
              <w:spacing w:after="0" w:line="240" w:lineRule="auto"/>
              <w:ind w:left="0" w:firstLine="0"/>
              <w:contextualSpacing w:val="0"/>
              <w:jc w:val="both"/>
              <w:rPr>
                <w:rFonts w:eastAsia="Times New Roman"/>
                <w:lang w:eastAsia="it-IT"/>
              </w:rPr>
            </w:pPr>
            <w:r w:rsidRPr="00227DC3">
              <w:t>Privacy: uniformità in azienda di presentazione dell’informativa al cittadino e delle procedure di raccolta del consenso informato e di oscuramento e de-oscuramento.</w:t>
            </w:r>
          </w:p>
        </w:tc>
      </w:tr>
      <w:tr w:rsidR="005325AC" w:rsidRPr="0030525A" w:rsidTr="000D30D1">
        <w:trPr>
          <w:jc w:val="center"/>
        </w:trPr>
        <w:tc>
          <w:tcPr>
            <w:tcW w:w="985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325AC" w:rsidRDefault="005325AC" w:rsidP="000D30D1">
            <w:pPr>
              <w:jc w:val="both"/>
              <w:outlineLvl w:val="0"/>
              <w:rPr>
                <w:rFonts w:eastAsia="MS Mincho" w:cs="Calibri"/>
                <w:b/>
              </w:rPr>
            </w:pPr>
            <w:r>
              <w:rPr>
                <w:rFonts w:eastAsia="MS Mincho" w:cs="Calibri"/>
                <w:b/>
              </w:rPr>
              <w:lastRenderedPageBreak/>
              <w:t>Attuazione</w:t>
            </w:r>
            <w:r w:rsidRPr="003006A5">
              <w:rPr>
                <w:rFonts w:eastAsia="MS Mincho" w:cs="Calibri"/>
                <w:b/>
              </w:rPr>
              <w:t xml:space="preserve"> al 3</w:t>
            </w:r>
            <w:r>
              <w:rPr>
                <w:rFonts w:eastAsia="MS Mincho" w:cs="Calibri"/>
                <w:b/>
              </w:rPr>
              <w:t>1.12.</w:t>
            </w:r>
            <w:r w:rsidRPr="003006A5">
              <w:rPr>
                <w:rFonts w:eastAsia="MS Mincho" w:cs="Calibri"/>
                <w:b/>
              </w:rPr>
              <w:t>2015</w:t>
            </w:r>
          </w:p>
          <w:p w:rsidR="005325AC" w:rsidRPr="001A5254" w:rsidRDefault="005325AC" w:rsidP="000D30D1">
            <w:pPr>
              <w:jc w:val="both"/>
              <w:rPr>
                <w:bCs/>
              </w:rPr>
            </w:pPr>
            <w:r>
              <w:rPr>
                <w:bCs/>
              </w:rPr>
              <w:t xml:space="preserve">Si è </w:t>
            </w:r>
            <w:r w:rsidRPr="001A5254">
              <w:rPr>
                <w:bCs/>
              </w:rPr>
              <w:t>provveduto alla modifica e aggio</w:t>
            </w:r>
            <w:r>
              <w:rPr>
                <w:bCs/>
              </w:rPr>
              <w:t>rnamento del modulo informativa</w:t>
            </w:r>
            <w:r w:rsidRPr="001A5254">
              <w:rPr>
                <w:bCs/>
              </w:rPr>
              <w:t>/consenso alla luce della legge regionale di riforma delle aziende sanitarie e ospedaliere che ha previsto la soppressione e l’istituzione di nuove aziende</w:t>
            </w:r>
            <w:r>
              <w:rPr>
                <w:bCs/>
              </w:rPr>
              <w:t xml:space="preserve">. I moduli standard (uniformi a livello regionale) vengono tutti compilati on </w:t>
            </w:r>
            <w:proofErr w:type="spellStart"/>
            <w:r>
              <w:rPr>
                <w:bCs/>
              </w:rPr>
              <w:t>line</w:t>
            </w:r>
            <w:proofErr w:type="spellEnd"/>
            <w:r>
              <w:rPr>
                <w:bCs/>
              </w:rPr>
              <w:t xml:space="preserve"> al primo accesso del paziente in istituto</w:t>
            </w:r>
          </w:p>
        </w:tc>
      </w:tr>
      <w:tr w:rsidR="005325AC" w:rsidRPr="0030525A" w:rsidTr="000D30D1">
        <w:trPr>
          <w:trHeight w:val="60"/>
          <w:jc w:val="center"/>
        </w:trPr>
        <w:tc>
          <w:tcPr>
            <w:tcW w:w="4533" w:type="dxa"/>
            <w:tcBorders>
              <w:top w:val="single" w:sz="4" w:space="0" w:color="auto"/>
              <w:left w:val="single" w:sz="4" w:space="0" w:color="auto"/>
              <w:bottom w:val="single" w:sz="4" w:space="0" w:color="auto"/>
              <w:right w:val="single" w:sz="4" w:space="0" w:color="auto"/>
            </w:tcBorders>
            <w:shd w:val="clear" w:color="auto" w:fill="E0E0E0"/>
          </w:tcPr>
          <w:p w:rsidR="005325AC" w:rsidRPr="009C1F6D" w:rsidRDefault="005325AC" w:rsidP="000D30D1">
            <w:pPr>
              <w:jc w:val="both"/>
              <w:rPr>
                <w:rFonts w:eastAsia="Times New Roman"/>
                <w:b/>
                <w:lang w:eastAsia="it-IT"/>
              </w:rPr>
            </w:pPr>
            <w:r w:rsidRPr="009C1F6D">
              <w:rPr>
                <w:rFonts w:eastAsia="Times New Roman"/>
                <w:b/>
                <w:lang w:eastAsia="it-IT"/>
              </w:rPr>
              <w:t>Obiettivo aziendale</w:t>
            </w:r>
          </w:p>
          <w:p w:rsidR="005325AC" w:rsidRPr="0030525A" w:rsidRDefault="005325AC" w:rsidP="000D30D1">
            <w:pPr>
              <w:jc w:val="both"/>
              <w:rPr>
                <w:rFonts w:eastAsia="Times New Roman"/>
                <w:lang w:eastAsia="it-IT"/>
              </w:rPr>
            </w:pPr>
            <w:r w:rsidRPr="0030525A">
              <w:rPr>
                <w:rFonts w:eastAsia="Times New Roman"/>
                <w:lang w:eastAsia="it-IT"/>
              </w:rPr>
              <w:t>estensione della ricetta elettronica alla specialistica ambulatoriale</w:t>
            </w:r>
          </w:p>
        </w:tc>
        <w:tc>
          <w:tcPr>
            <w:tcW w:w="5321" w:type="dxa"/>
            <w:tcBorders>
              <w:top w:val="single" w:sz="4" w:space="0" w:color="auto"/>
              <w:left w:val="single" w:sz="4" w:space="0" w:color="auto"/>
              <w:bottom w:val="single" w:sz="4" w:space="0" w:color="auto"/>
              <w:right w:val="single" w:sz="4" w:space="0" w:color="auto"/>
            </w:tcBorders>
            <w:shd w:val="clear" w:color="auto" w:fill="E0E0E0"/>
          </w:tcPr>
          <w:p w:rsidR="005325AC" w:rsidRPr="009C1F6D" w:rsidRDefault="005325AC" w:rsidP="000D30D1">
            <w:pPr>
              <w:jc w:val="both"/>
              <w:rPr>
                <w:rFonts w:eastAsia="Times New Roman"/>
                <w:b/>
                <w:lang w:eastAsia="it-IT"/>
              </w:rPr>
            </w:pPr>
            <w:r w:rsidRPr="009C1F6D">
              <w:rPr>
                <w:rFonts w:eastAsia="Times New Roman"/>
                <w:b/>
                <w:lang w:eastAsia="it-IT"/>
              </w:rPr>
              <w:t>Risultato atteso</w:t>
            </w:r>
          </w:p>
          <w:p w:rsidR="005325AC" w:rsidRPr="0030525A" w:rsidRDefault="005325AC" w:rsidP="000D30D1">
            <w:pPr>
              <w:spacing w:line="60" w:lineRule="atLeast"/>
              <w:jc w:val="both"/>
              <w:rPr>
                <w:rFonts w:eastAsia="Times New Roman"/>
                <w:lang w:eastAsia="it-IT"/>
              </w:rPr>
            </w:pPr>
            <w:r w:rsidRPr="0030525A">
              <w:rPr>
                <w:rFonts w:eastAsia="Times New Roman"/>
                <w:lang w:eastAsia="it-IT"/>
              </w:rPr>
              <w:t>rispetto delle linee guida regionali</w:t>
            </w:r>
          </w:p>
        </w:tc>
      </w:tr>
      <w:tr w:rsidR="005325AC" w:rsidRPr="0030525A" w:rsidTr="000D30D1">
        <w:trPr>
          <w:jc w:val="center"/>
        </w:trPr>
        <w:tc>
          <w:tcPr>
            <w:tcW w:w="985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325AC" w:rsidRDefault="005325AC" w:rsidP="000D30D1">
            <w:pPr>
              <w:jc w:val="both"/>
              <w:outlineLvl w:val="0"/>
              <w:rPr>
                <w:rFonts w:eastAsia="MS Mincho" w:cs="Calibri"/>
                <w:b/>
              </w:rPr>
            </w:pPr>
            <w:r>
              <w:rPr>
                <w:rFonts w:eastAsia="MS Mincho" w:cs="Calibri"/>
                <w:b/>
              </w:rPr>
              <w:t>Attuazione</w:t>
            </w:r>
            <w:r w:rsidRPr="003006A5">
              <w:rPr>
                <w:rFonts w:eastAsia="MS Mincho" w:cs="Calibri"/>
                <w:b/>
              </w:rPr>
              <w:t xml:space="preserve"> al 3</w:t>
            </w:r>
            <w:r>
              <w:rPr>
                <w:rFonts w:eastAsia="MS Mincho" w:cs="Calibri"/>
                <w:b/>
              </w:rPr>
              <w:t>1.12.</w:t>
            </w:r>
            <w:r w:rsidRPr="003006A5">
              <w:rPr>
                <w:rFonts w:eastAsia="MS Mincho" w:cs="Calibri"/>
                <w:b/>
              </w:rPr>
              <w:t>2015</w:t>
            </w:r>
          </w:p>
          <w:p w:rsidR="005325AC" w:rsidRPr="0030525A" w:rsidRDefault="005325AC" w:rsidP="000D30D1">
            <w:pPr>
              <w:jc w:val="both"/>
              <w:outlineLvl w:val="0"/>
              <w:rPr>
                <w:rFonts w:cstheme="minorHAnsi"/>
                <w:b/>
                <w:bCs/>
              </w:rPr>
            </w:pPr>
            <w:r w:rsidRPr="00DF6227">
              <w:rPr>
                <w:rFonts w:cstheme="minorHAnsi"/>
                <w:bCs/>
              </w:rPr>
              <w:t>L’utilizzo della ricetta elettronica è stato esteso a tutti i medici</w:t>
            </w:r>
            <w:r>
              <w:rPr>
                <w:rFonts w:cstheme="minorHAnsi"/>
                <w:bCs/>
              </w:rPr>
              <w:t xml:space="preserve"> dell’Istituto abilitati a prescrivere ricette.</w:t>
            </w:r>
          </w:p>
        </w:tc>
      </w:tr>
      <w:tr w:rsidR="005325AC" w:rsidRPr="0030525A" w:rsidTr="000D3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trHeight w:val="720"/>
          <w:jc w:val="center"/>
        </w:trPr>
        <w:tc>
          <w:tcPr>
            <w:tcW w:w="4533" w:type="dxa"/>
            <w:tcBorders>
              <w:top w:val="single" w:sz="4" w:space="0" w:color="auto"/>
              <w:left w:val="single" w:sz="4" w:space="0" w:color="auto"/>
              <w:bottom w:val="single" w:sz="4" w:space="0" w:color="auto"/>
              <w:right w:val="single" w:sz="8" w:space="0" w:color="000000"/>
            </w:tcBorders>
            <w:shd w:val="clear" w:color="000000" w:fill="E6E6E6"/>
          </w:tcPr>
          <w:p w:rsidR="005325AC" w:rsidRPr="009C1F6D" w:rsidRDefault="005325AC" w:rsidP="000D30D1">
            <w:pPr>
              <w:jc w:val="both"/>
              <w:rPr>
                <w:rFonts w:cs="DecimaWERg"/>
                <w:b/>
              </w:rPr>
            </w:pPr>
            <w:r w:rsidRPr="009C1F6D">
              <w:rPr>
                <w:rFonts w:cs="DecimaWERg,Bold"/>
                <w:b/>
                <w:bCs/>
              </w:rPr>
              <w:t>Obiettivo aziendale</w:t>
            </w:r>
          </w:p>
          <w:p w:rsidR="005325AC" w:rsidRPr="0030525A" w:rsidRDefault="005325AC" w:rsidP="000D30D1">
            <w:pPr>
              <w:jc w:val="both"/>
              <w:rPr>
                <w:rFonts w:eastAsia="Times New Roman"/>
                <w:lang w:eastAsia="it-IT"/>
              </w:rPr>
            </w:pPr>
            <w:r w:rsidRPr="0030525A">
              <w:rPr>
                <w:rFonts w:eastAsia="Times New Roman"/>
                <w:lang w:eastAsia="it-IT"/>
              </w:rPr>
              <w:t xml:space="preserve">Estensione obbligatoria della firma digitale </w:t>
            </w:r>
          </w:p>
          <w:p w:rsidR="005325AC" w:rsidRPr="0030525A" w:rsidRDefault="005325AC" w:rsidP="000D30D1">
            <w:pPr>
              <w:jc w:val="both"/>
              <w:rPr>
                <w:rFonts w:cs="DecimaWE Rg"/>
              </w:rPr>
            </w:pPr>
          </w:p>
        </w:tc>
        <w:tc>
          <w:tcPr>
            <w:tcW w:w="5321" w:type="dxa"/>
            <w:tcBorders>
              <w:top w:val="single" w:sz="4" w:space="0" w:color="auto"/>
              <w:left w:val="single" w:sz="8" w:space="0" w:color="auto"/>
              <w:bottom w:val="single" w:sz="4" w:space="0" w:color="auto"/>
              <w:right w:val="single" w:sz="4" w:space="0" w:color="auto"/>
            </w:tcBorders>
            <w:shd w:val="clear" w:color="000000" w:fill="E6E6E6"/>
          </w:tcPr>
          <w:p w:rsidR="005325AC" w:rsidRPr="009C1F6D" w:rsidRDefault="005325AC" w:rsidP="000D30D1">
            <w:pPr>
              <w:jc w:val="both"/>
              <w:rPr>
                <w:rFonts w:eastAsia="Times New Roman"/>
                <w:b/>
                <w:lang w:eastAsia="it-IT"/>
              </w:rPr>
            </w:pPr>
            <w:r w:rsidRPr="009C1F6D">
              <w:rPr>
                <w:rFonts w:cs="DecimaWERg,Bold"/>
                <w:b/>
                <w:bCs/>
              </w:rPr>
              <w:t>Risultato atteso</w:t>
            </w:r>
            <w:r w:rsidRPr="009C1F6D">
              <w:rPr>
                <w:rFonts w:eastAsia="Times New Roman"/>
                <w:b/>
                <w:lang w:eastAsia="it-IT"/>
              </w:rPr>
              <w:t xml:space="preserve"> </w:t>
            </w:r>
          </w:p>
          <w:p w:rsidR="005325AC" w:rsidRPr="00227DC3" w:rsidRDefault="005325AC" w:rsidP="000D30D1">
            <w:pPr>
              <w:pStyle w:val="Paragrafoelenco"/>
              <w:spacing w:after="0" w:line="240" w:lineRule="auto"/>
              <w:ind w:left="0"/>
              <w:jc w:val="both"/>
              <w:rPr>
                <w:rFonts w:cs="Times New Roman"/>
              </w:rPr>
            </w:pPr>
            <w:r w:rsidRPr="00227DC3">
              <w:rPr>
                <w:rFonts w:cs="Times New Roman"/>
              </w:rPr>
              <w:t>E’ obbligatorio l’utilizzo della firma digitale sui referti.</w:t>
            </w:r>
          </w:p>
          <w:p w:rsidR="005325AC" w:rsidRPr="00227DC3" w:rsidRDefault="005325AC" w:rsidP="000D30D1">
            <w:pPr>
              <w:pStyle w:val="Paragrafoelenco"/>
              <w:spacing w:after="0" w:line="240" w:lineRule="auto"/>
              <w:ind w:left="0"/>
              <w:jc w:val="both"/>
              <w:rPr>
                <w:rFonts w:cs="Times New Roman"/>
              </w:rPr>
            </w:pPr>
            <w:r w:rsidRPr="00227DC3">
              <w:rPr>
                <w:rFonts w:cs="Times New Roman"/>
              </w:rPr>
              <w:t>La percentuale minima di refertazione con firma digitale rispetto al totale dei referti è la seguente:</w:t>
            </w:r>
          </w:p>
          <w:p w:rsidR="005325AC" w:rsidRPr="00227DC3" w:rsidRDefault="005325AC" w:rsidP="000D30D1">
            <w:pPr>
              <w:pStyle w:val="Paragrafoelenco"/>
              <w:spacing w:after="0" w:line="240" w:lineRule="auto"/>
              <w:ind w:left="0"/>
              <w:jc w:val="both"/>
              <w:rPr>
                <w:rFonts w:cs="Times New Roman"/>
              </w:rPr>
            </w:pPr>
            <w:r w:rsidRPr="00227DC3">
              <w:rPr>
                <w:rFonts w:cs="Times New Roman"/>
              </w:rPr>
              <w:t xml:space="preserve">-G2 clinico &gt;80% </w:t>
            </w:r>
          </w:p>
          <w:p w:rsidR="005325AC" w:rsidRPr="00227DC3" w:rsidRDefault="005325AC" w:rsidP="000D30D1">
            <w:pPr>
              <w:pStyle w:val="Paragrafoelenco"/>
              <w:spacing w:after="0" w:line="240" w:lineRule="auto"/>
              <w:ind w:left="0"/>
              <w:jc w:val="both"/>
              <w:rPr>
                <w:rFonts w:cs="Times New Roman"/>
                <w:i/>
              </w:rPr>
            </w:pPr>
            <w:r w:rsidRPr="00227DC3">
              <w:rPr>
                <w:rFonts w:cs="Times New Roman"/>
                <w:i/>
              </w:rPr>
              <w:t>- Predisposizione del layout del modello di stampa per la firma digitale sulla lettera di dimissione ospedaliera entro il 31/12/2015</w:t>
            </w:r>
          </w:p>
          <w:p w:rsidR="005325AC" w:rsidRPr="00227DC3" w:rsidRDefault="005325AC" w:rsidP="000D30D1">
            <w:pPr>
              <w:pStyle w:val="Paragrafoelenco"/>
              <w:spacing w:after="0" w:line="240" w:lineRule="auto"/>
              <w:ind w:left="0"/>
              <w:jc w:val="both"/>
              <w:rPr>
                <w:rFonts w:cs="Times New Roman"/>
              </w:rPr>
            </w:pPr>
            <w:r w:rsidRPr="00227DC3">
              <w:rPr>
                <w:rFonts w:cs="Times New Roman"/>
              </w:rPr>
              <w:t>-Laboratorio e Microbiologia &gt; 95%</w:t>
            </w:r>
          </w:p>
          <w:p w:rsidR="005325AC" w:rsidRPr="00227DC3" w:rsidRDefault="005325AC" w:rsidP="000D30D1">
            <w:pPr>
              <w:pStyle w:val="Paragrafoelenco"/>
              <w:spacing w:after="0" w:line="240" w:lineRule="auto"/>
              <w:ind w:left="0"/>
              <w:jc w:val="both"/>
              <w:rPr>
                <w:rFonts w:cs="Times New Roman"/>
              </w:rPr>
            </w:pPr>
            <w:r w:rsidRPr="00227DC3">
              <w:rPr>
                <w:rFonts w:cs="Times New Roman"/>
              </w:rPr>
              <w:t>-Medicina Trasfusionale &gt; 90%</w:t>
            </w:r>
          </w:p>
          <w:p w:rsidR="005325AC" w:rsidRPr="00227DC3" w:rsidRDefault="005325AC" w:rsidP="000D30D1">
            <w:pPr>
              <w:pStyle w:val="Paragrafoelenco"/>
              <w:spacing w:after="0" w:line="240" w:lineRule="auto"/>
              <w:ind w:left="0"/>
              <w:jc w:val="both"/>
              <w:rPr>
                <w:rFonts w:cs="Times New Roman"/>
              </w:rPr>
            </w:pPr>
            <w:r w:rsidRPr="00227DC3">
              <w:rPr>
                <w:rFonts w:cs="Times New Roman"/>
              </w:rPr>
              <w:t>-Radiologia &gt; 95%</w:t>
            </w:r>
          </w:p>
          <w:p w:rsidR="005325AC" w:rsidRPr="0030525A" w:rsidRDefault="005325AC" w:rsidP="008A29F1">
            <w:pPr>
              <w:numPr>
                <w:ilvl w:val="0"/>
                <w:numId w:val="8"/>
              </w:numPr>
              <w:spacing w:after="0" w:line="240" w:lineRule="auto"/>
              <w:ind w:left="221" w:hanging="221"/>
              <w:jc w:val="both"/>
              <w:rPr>
                <w:rFonts w:cs="DecimaWE Rg"/>
              </w:rPr>
            </w:pPr>
            <w:r w:rsidRPr="00227DC3">
              <w:t>-ECG &gt; 80%</w:t>
            </w:r>
          </w:p>
        </w:tc>
      </w:tr>
      <w:tr w:rsidR="005325AC" w:rsidRPr="0030525A" w:rsidTr="000D30D1">
        <w:trPr>
          <w:jc w:val="center"/>
        </w:trPr>
        <w:tc>
          <w:tcPr>
            <w:tcW w:w="985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325AC" w:rsidRDefault="005325AC" w:rsidP="000D30D1">
            <w:pPr>
              <w:jc w:val="both"/>
              <w:outlineLvl w:val="0"/>
              <w:rPr>
                <w:rFonts w:eastAsia="MS Mincho" w:cs="Calibri"/>
                <w:b/>
              </w:rPr>
            </w:pPr>
            <w:r>
              <w:rPr>
                <w:rFonts w:eastAsia="MS Mincho" w:cs="Calibri"/>
                <w:b/>
              </w:rPr>
              <w:t>Attuazione al 31.12.2015</w:t>
            </w:r>
          </w:p>
          <w:p w:rsidR="005325AC" w:rsidRPr="00626143" w:rsidRDefault="005325AC" w:rsidP="008A29F1">
            <w:pPr>
              <w:numPr>
                <w:ilvl w:val="0"/>
                <w:numId w:val="8"/>
              </w:numPr>
              <w:spacing w:after="0" w:line="240" w:lineRule="auto"/>
              <w:ind w:left="221" w:hanging="221"/>
              <w:jc w:val="both"/>
              <w:rPr>
                <w:rFonts w:eastAsia="Times New Roman"/>
                <w:lang w:eastAsia="it-IT"/>
              </w:rPr>
            </w:pPr>
            <w:r w:rsidRPr="00626143">
              <w:rPr>
                <w:rFonts w:eastAsia="Times New Roman"/>
                <w:lang w:eastAsia="it-IT"/>
              </w:rPr>
              <w:t xml:space="preserve">G2 clinico totale: 51,44% </w:t>
            </w:r>
          </w:p>
          <w:p w:rsidR="005325AC" w:rsidRPr="002058C2" w:rsidRDefault="005325AC" w:rsidP="008A29F1">
            <w:pPr>
              <w:numPr>
                <w:ilvl w:val="0"/>
                <w:numId w:val="8"/>
              </w:numPr>
              <w:spacing w:after="0" w:line="240" w:lineRule="auto"/>
              <w:ind w:left="221" w:hanging="221"/>
              <w:jc w:val="both"/>
              <w:rPr>
                <w:rFonts w:cstheme="minorHAnsi"/>
              </w:rPr>
            </w:pPr>
            <w:r w:rsidRPr="002058C2">
              <w:rPr>
                <w:rFonts w:cstheme="minorHAnsi"/>
              </w:rPr>
              <w:t xml:space="preserve">è </w:t>
            </w:r>
            <w:r w:rsidRPr="002058C2">
              <w:rPr>
                <w:rFonts w:eastAsia="Times New Roman"/>
                <w:lang w:eastAsia="it-IT"/>
              </w:rPr>
              <w:t>stata</w:t>
            </w:r>
            <w:r w:rsidRPr="002058C2">
              <w:rPr>
                <w:rFonts w:cstheme="minorHAnsi"/>
              </w:rPr>
              <w:t xml:space="preserve"> predisposta la </w:t>
            </w:r>
            <w:r w:rsidRPr="002058C2">
              <w:t>procedura di stampa delle lettere di dimissione da G2 per tutti i r</w:t>
            </w:r>
            <w:r>
              <w:t>eparti di degenza dell’istituto</w:t>
            </w:r>
            <w:r w:rsidRPr="002058C2">
              <w:t xml:space="preserve"> </w:t>
            </w:r>
            <w:r w:rsidRPr="002058C2">
              <w:rPr>
                <w:rFonts w:cstheme="minorHAnsi"/>
              </w:rPr>
              <w:t>che consentirà l’adozione della firma digitale della lettera di dimissione, in attesa di linee  regionali in particolare per l’attivazione della conservazione legale della lettera di dimissione.</w:t>
            </w:r>
          </w:p>
          <w:p w:rsidR="005325AC" w:rsidRPr="00626143" w:rsidRDefault="005325AC" w:rsidP="008A29F1">
            <w:pPr>
              <w:numPr>
                <w:ilvl w:val="0"/>
                <w:numId w:val="8"/>
              </w:numPr>
              <w:spacing w:after="0" w:line="240" w:lineRule="auto"/>
              <w:ind w:left="221" w:hanging="221"/>
              <w:jc w:val="both"/>
              <w:rPr>
                <w:rFonts w:eastAsia="Times New Roman"/>
                <w:lang w:eastAsia="it-IT"/>
              </w:rPr>
            </w:pPr>
            <w:r w:rsidRPr="00626143">
              <w:rPr>
                <w:rFonts w:eastAsia="Times New Roman"/>
                <w:lang w:eastAsia="it-IT"/>
              </w:rPr>
              <w:t>Laboratorio e Microbiologia: 100%</w:t>
            </w:r>
          </w:p>
          <w:p w:rsidR="005325AC" w:rsidRPr="001A5254" w:rsidRDefault="005325AC" w:rsidP="008A29F1">
            <w:pPr>
              <w:numPr>
                <w:ilvl w:val="0"/>
                <w:numId w:val="8"/>
              </w:numPr>
              <w:spacing w:after="0" w:line="240" w:lineRule="auto"/>
              <w:ind w:left="221" w:hanging="221"/>
              <w:jc w:val="both"/>
              <w:rPr>
                <w:rFonts w:eastAsia="Times New Roman"/>
                <w:lang w:eastAsia="it-IT"/>
              </w:rPr>
            </w:pPr>
            <w:r>
              <w:rPr>
                <w:rFonts w:eastAsia="Times New Roman"/>
                <w:lang w:eastAsia="it-IT"/>
              </w:rPr>
              <w:t>Medicina trasfusionale</w:t>
            </w:r>
            <w:r w:rsidRPr="001A5254">
              <w:rPr>
                <w:rFonts w:eastAsia="Times New Roman"/>
                <w:lang w:eastAsia="it-IT"/>
              </w:rPr>
              <w:t xml:space="preserve">: </w:t>
            </w:r>
            <w:r>
              <w:rPr>
                <w:rFonts w:eastAsia="Times New Roman"/>
                <w:lang w:eastAsia="it-IT"/>
              </w:rPr>
              <w:t>attività AAS 5</w:t>
            </w:r>
          </w:p>
          <w:p w:rsidR="005325AC" w:rsidRPr="000A4877" w:rsidRDefault="005325AC" w:rsidP="008A29F1">
            <w:pPr>
              <w:numPr>
                <w:ilvl w:val="0"/>
                <w:numId w:val="8"/>
              </w:numPr>
              <w:spacing w:after="0" w:line="240" w:lineRule="auto"/>
              <w:ind w:left="221" w:hanging="221"/>
              <w:jc w:val="both"/>
              <w:rPr>
                <w:rFonts w:eastAsia="Times New Roman"/>
                <w:lang w:eastAsia="it-IT"/>
              </w:rPr>
            </w:pPr>
            <w:r>
              <w:rPr>
                <w:rFonts w:eastAsia="Times New Roman"/>
                <w:lang w:eastAsia="it-IT"/>
              </w:rPr>
              <w:t>R</w:t>
            </w:r>
            <w:r w:rsidRPr="001A5254">
              <w:rPr>
                <w:rFonts w:eastAsia="Times New Roman"/>
                <w:lang w:eastAsia="it-IT"/>
              </w:rPr>
              <w:t xml:space="preserve">adiologia: </w:t>
            </w:r>
            <w:r w:rsidRPr="000A4877">
              <w:rPr>
                <w:rFonts w:ascii="Arial" w:hAnsi="Arial" w:cs="Arial"/>
                <w:sz w:val="20"/>
                <w:szCs w:val="20"/>
              </w:rPr>
              <w:t>96,73</w:t>
            </w:r>
            <w:r>
              <w:rPr>
                <w:rFonts w:ascii="Arial" w:hAnsi="Arial" w:cs="Arial"/>
                <w:sz w:val="20"/>
                <w:szCs w:val="20"/>
              </w:rPr>
              <w:t>%</w:t>
            </w:r>
          </w:p>
          <w:p w:rsidR="005325AC" w:rsidRPr="001A5254" w:rsidRDefault="005325AC" w:rsidP="008A29F1">
            <w:pPr>
              <w:numPr>
                <w:ilvl w:val="0"/>
                <w:numId w:val="8"/>
              </w:numPr>
              <w:spacing w:after="0" w:line="240" w:lineRule="auto"/>
              <w:ind w:left="221" w:hanging="221"/>
              <w:jc w:val="both"/>
              <w:rPr>
                <w:rFonts w:cstheme="minorHAnsi"/>
                <w:b/>
                <w:bCs/>
              </w:rPr>
            </w:pPr>
            <w:r>
              <w:rPr>
                <w:rFonts w:eastAsia="Times New Roman"/>
                <w:lang w:eastAsia="it-IT"/>
              </w:rPr>
              <w:t xml:space="preserve">Cardiologia compresi </w:t>
            </w:r>
            <w:proofErr w:type="spellStart"/>
            <w:r w:rsidRPr="001A5254">
              <w:rPr>
                <w:rFonts w:eastAsia="Times New Roman"/>
                <w:lang w:eastAsia="it-IT"/>
              </w:rPr>
              <w:t>ecg</w:t>
            </w:r>
            <w:proofErr w:type="spellEnd"/>
            <w:r w:rsidRPr="001A5254">
              <w:rPr>
                <w:rFonts w:eastAsia="Times New Roman"/>
                <w:lang w:eastAsia="it-IT"/>
              </w:rPr>
              <w:t xml:space="preserve">: </w:t>
            </w:r>
            <w:r>
              <w:rPr>
                <w:rFonts w:eastAsia="Times New Roman"/>
                <w:lang w:eastAsia="it-IT"/>
              </w:rPr>
              <w:t>99,68%</w:t>
            </w:r>
          </w:p>
        </w:tc>
      </w:tr>
      <w:tr w:rsidR="005325AC" w:rsidRPr="00A35D1A" w:rsidTr="000D3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tblPrEx>
        <w:trPr>
          <w:trHeight w:val="60"/>
          <w:jc w:val="center"/>
        </w:trPr>
        <w:tc>
          <w:tcPr>
            <w:tcW w:w="4533" w:type="dxa"/>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tcPr>
          <w:p w:rsidR="005325AC" w:rsidRPr="00227DC3" w:rsidRDefault="005325AC" w:rsidP="000D30D1">
            <w:pPr>
              <w:pStyle w:val="Corpodeltesto"/>
              <w:rPr>
                <w:rFonts w:cs="DecimaWE Rg"/>
                <w:b/>
              </w:rPr>
            </w:pPr>
            <w:r w:rsidRPr="00227DC3">
              <w:rPr>
                <w:rFonts w:cs="DecimaWE Rg"/>
                <w:b/>
              </w:rPr>
              <w:t>Obiettivo aziendale</w:t>
            </w:r>
          </w:p>
          <w:p w:rsidR="005325AC" w:rsidRPr="00227DC3" w:rsidRDefault="005325AC" w:rsidP="000D30D1">
            <w:pPr>
              <w:pStyle w:val="Corpodeltesto"/>
              <w:rPr>
                <w:rFonts w:cs="DecimaWE Rg"/>
              </w:rPr>
            </w:pPr>
            <w:r w:rsidRPr="00227DC3">
              <w:rPr>
                <w:rFonts w:cs="DecimaWE Rg"/>
              </w:rPr>
              <w:t>Attività innovative di sistema:</w:t>
            </w:r>
          </w:p>
          <w:p w:rsidR="005325AC" w:rsidRPr="00227DC3" w:rsidRDefault="005325AC" w:rsidP="000D30D1">
            <w:pPr>
              <w:pStyle w:val="Paragrafoelenco"/>
              <w:spacing w:after="0" w:line="240" w:lineRule="auto"/>
              <w:ind w:left="0"/>
              <w:jc w:val="both"/>
              <w:rPr>
                <w:rFonts w:eastAsia="Calibri" w:cs="DecimaWE Rg"/>
              </w:rPr>
            </w:pPr>
            <w:r w:rsidRPr="00227DC3">
              <w:rPr>
                <w:rFonts w:eastAsia="Calibri" w:cs="DecimaWE Rg"/>
              </w:rPr>
              <w:t xml:space="preserve">1.Sistema di gestione dell’attività sanitaria in ambito ospedaliero </w:t>
            </w:r>
          </w:p>
          <w:p w:rsidR="005325AC" w:rsidRPr="00227DC3" w:rsidRDefault="005325AC" w:rsidP="000D30D1">
            <w:pPr>
              <w:pStyle w:val="Paragrafoelenco"/>
              <w:spacing w:after="0" w:line="240" w:lineRule="auto"/>
              <w:ind w:left="0"/>
              <w:jc w:val="both"/>
              <w:rPr>
                <w:rFonts w:eastAsia="Calibri" w:cs="DecimaWE Rg"/>
              </w:rPr>
            </w:pPr>
            <w:proofErr w:type="spellStart"/>
            <w:r w:rsidRPr="00227DC3">
              <w:rPr>
                <w:rFonts w:eastAsia="Calibri" w:cs="DecimaWE Rg"/>
              </w:rPr>
              <w:t>a.Attività</w:t>
            </w:r>
            <w:proofErr w:type="spellEnd"/>
            <w:r w:rsidRPr="00227DC3">
              <w:rPr>
                <w:rFonts w:eastAsia="Calibri" w:cs="DecimaWE Rg"/>
              </w:rPr>
              <w:t xml:space="preserve"> propedeutiche alla realizzazione della Cartella integrata clinico assistenziale</w:t>
            </w:r>
          </w:p>
          <w:p w:rsidR="005325AC" w:rsidRPr="00227DC3" w:rsidRDefault="005325AC" w:rsidP="000D30D1">
            <w:pPr>
              <w:pStyle w:val="Paragrafoelenco"/>
              <w:spacing w:after="0" w:line="240" w:lineRule="auto"/>
              <w:ind w:left="0"/>
              <w:jc w:val="both"/>
              <w:rPr>
                <w:rFonts w:eastAsia="Calibri" w:cs="DecimaWE Rg"/>
              </w:rPr>
            </w:pPr>
            <w:proofErr w:type="spellStart"/>
            <w:r w:rsidRPr="00227DC3">
              <w:rPr>
                <w:rFonts w:eastAsia="Calibri" w:cs="DecimaWE Rg"/>
              </w:rPr>
              <w:t>b.Estensione</w:t>
            </w:r>
            <w:proofErr w:type="spellEnd"/>
            <w:r w:rsidRPr="00227DC3">
              <w:rPr>
                <w:rFonts w:eastAsia="Calibri" w:cs="DecimaWE Rg"/>
              </w:rPr>
              <w:t xml:space="preserve"> del sistema ECG </w:t>
            </w:r>
          </w:p>
          <w:p w:rsidR="005325AC" w:rsidRPr="00227DC3" w:rsidRDefault="005325AC" w:rsidP="000D30D1">
            <w:pPr>
              <w:pStyle w:val="Paragrafoelenco"/>
              <w:spacing w:after="0" w:line="240" w:lineRule="auto"/>
              <w:ind w:left="0"/>
              <w:jc w:val="both"/>
              <w:rPr>
                <w:rFonts w:eastAsia="Calibri" w:cs="DecimaWE Rg"/>
              </w:rPr>
            </w:pPr>
            <w:r w:rsidRPr="00227DC3">
              <w:rPr>
                <w:rFonts w:eastAsia="Calibri" w:cs="DecimaWE Rg"/>
              </w:rPr>
              <w:t>2.Sistema direzionale aziendale</w:t>
            </w:r>
          </w:p>
          <w:p w:rsidR="005325AC" w:rsidRPr="00227DC3" w:rsidRDefault="005325AC" w:rsidP="000D30D1">
            <w:pPr>
              <w:jc w:val="both"/>
              <w:rPr>
                <w:rFonts w:cs="DecimaWE Rg"/>
              </w:rPr>
            </w:pPr>
            <w:r w:rsidRPr="00227DC3">
              <w:rPr>
                <w:rFonts w:cs="DecimaWE Rg"/>
              </w:rPr>
              <w:t>a. governo del personale</w:t>
            </w:r>
          </w:p>
          <w:p w:rsidR="005325AC" w:rsidRPr="00227DC3" w:rsidRDefault="005325AC" w:rsidP="000D30D1">
            <w:pPr>
              <w:jc w:val="both"/>
              <w:rPr>
                <w:rFonts w:cs="DecimaWE Rg"/>
              </w:rPr>
            </w:pPr>
            <w:r w:rsidRPr="00227DC3">
              <w:rPr>
                <w:rFonts w:cs="DecimaWE Rg"/>
              </w:rPr>
              <w:t>b. governo logistico</w:t>
            </w:r>
          </w:p>
          <w:p w:rsidR="005325AC" w:rsidRPr="00227DC3" w:rsidRDefault="005325AC" w:rsidP="000D30D1">
            <w:pPr>
              <w:pStyle w:val="Paragrafoelenco"/>
              <w:spacing w:after="0" w:line="240" w:lineRule="auto"/>
              <w:ind w:left="0"/>
              <w:jc w:val="both"/>
              <w:rPr>
                <w:rFonts w:eastAsia="Calibri" w:cs="DecimaWE Rg"/>
              </w:rPr>
            </w:pPr>
            <w:r w:rsidRPr="00227DC3">
              <w:rPr>
                <w:rFonts w:eastAsia="Calibri" w:cs="DecimaWE Rg"/>
              </w:rPr>
              <w:lastRenderedPageBreak/>
              <w:t>3.Sistema direzionale regionale</w:t>
            </w:r>
          </w:p>
          <w:p w:rsidR="005325AC" w:rsidRPr="00227DC3" w:rsidRDefault="005325AC" w:rsidP="000D30D1">
            <w:pPr>
              <w:pStyle w:val="Paragrafoelenco"/>
              <w:spacing w:after="0" w:line="240" w:lineRule="auto"/>
              <w:ind w:left="0"/>
              <w:jc w:val="both"/>
              <w:rPr>
                <w:rFonts w:eastAsia="Calibri" w:cs="DecimaWE Rg"/>
              </w:rPr>
            </w:pPr>
            <w:r w:rsidRPr="00227DC3">
              <w:rPr>
                <w:rFonts w:eastAsia="Calibri" w:cs="DecimaWE Rg"/>
              </w:rPr>
              <w:t xml:space="preserve">a. data </w:t>
            </w:r>
            <w:proofErr w:type="spellStart"/>
            <w:r w:rsidRPr="00227DC3">
              <w:rPr>
                <w:rFonts w:eastAsia="Calibri" w:cs="DecimaWE Rg"/>
              </w:rPr>
              <w:t>warehouse</w:t>
            </w:r>
            <w:proofErr w:type="spellEnd"/>
            <w:r w:rsidRPr="00227DC3">
              <w:rPr>
                <w:rFonts w:eastAsia="Calibri" w:cs="DecimaWE Rg"/>
              </w:rPr>
              <w:t xml:space="preserve"> gestionale</w:t>
            </w:r>
          </w:p>
          <w:p w:rsidR="005325AC" w:rsidRPr="00227DC3" w:rsidRDefault="005325AC" w:rsidP="000D30D1">
            <w:pPr>
              <w:pStyle w:val="Paragrafoelenco"/>
              <w:spacing w:after="0" w:line="240" w:lineRule="auto"/>
              <w:ind w:left="0"/>
              <w:jc w:val="both"/>
              <w:rPr>
                <w:rFonts w:eastAsia="Calibri" w:cs="DecimaWE Rg"/>
              </w:rPr>
            </w:pPr>
            <w:r w:rsidRPr="00227DC3">
              <w:rPr>
                <w:rFonts w:eastAsia="Calibri" w:cs="DecimaWE Rg"/>
              </w:rPr>
              <w:t>b. sviluppo registro regionale dei dispositivi medici impiantabili</w:t>
            </w:r>
          </w:p>
        </w:tc>
        <w:tc>
          <w:tcPr>
            <w:tcW w:w="5321" w:type="dxa"/>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tcPr>
          <w:p w:rsidR="005325AC" w:rsidRPr="00227DC3" w:rsidRDefault="005325AC" w:rsidP="000D30D1">
            <w:pPr>
              <w:rPr>
                <w:rFonts w:cs="DecimaWERg,Bold"/>
                <w:b/>
                <w:bCs/>
              </w:rPr>
            </w:pPr>
            <w:r w:rsidRPr="00227DC3">
              <w:rPr>
                <w:rFonts w:cs="DecimaWERg,Bold"/>
                <w:b/>
                <w:bCs/>
              </w:rPr>
              <w:lastRenderedPageBreak/>
              <w:t>Risultato atteso</w:t>
            </w:r>
          </w:p>
          <w:p w:rsidR="005325AC" w:rsidRPr="00227DC3" w:rsidRDefault="005325AC" w:rsidP="000D30D1">
            <w:pPr>
              <w:jc w:val="both"/>
              <w:rPr>
                <w:rFonts w:cs="DecimaWERg,Bold"/>
                <w:bCs/>
              </w:rPr>
            </w:pPr>
            <w:r w:rsidRPr="00227DC3">
              <w:rPr>
                <w:rFonts w:cs="DecimaWERg,Bold"/>
                <w:bCs/>
              </w:rPr>
              <w:t>Partecipazione ai tavoli di lavoro organizzati dalla direzione regionale.</w:t>
            </w:r>
          </w:p>
          <w:p w:rsidR="005325AC" w:rsidRPr="00227DC3" w:rsidRDefault="005325AC" w:rsidP="000D30D1">
            <w:pPr>
              <w:rPr>
                <w:rFonts w:cs="DecimaWERg,Bold"/>
                <w:bCs/>
              </w:rPr>
            </w:pPr>
          </w:p>
          <w:p w:rsidR="005325AC" w:rsidRPr="00227DC3" w:rsidRDefault="005325AC" w:rsidP="000D30D1">
            <w:pPr>
              <w:rPr>
                <w:rFonts w:cs="DecimaWERg,Bold"/>
                <w:bCs/>
              </w:rPr>
            </w:pPr>
          </w:p>
          <w:p w:rsidR="005325AC" w:rsidRPr="00227DC3" w:rsidRDefault="005325AC" w:rsidP="000D30D1">
            <w:pPr>
              <w:rPr>
                <w:rFonts w:cs="DecimaWERg,Bold"/>
                <w:bCs/>
              </w:rPr>
            </w:pPr>
          </w:p>
          <w:p w:rsidR="005325AC" w:rsidRPr="00227DC3" w:rsidRDefault="005325AC" w:rsidP="000D30D1">
            <w:pPr>
              <w:rPr>
                <w:rFonts w:cs="DecimaWERg,Bold"/>
                <w:bCs/>
              </w:rPr>
            </w:pPr>
          </w:p>
          <w:p w:rsidR="005325AC" w:rsidRPr="00227DC3" w:rsidRDefault="005325AC" w:rsidP="000D30D1">
            <w:pPr>
              <w:rPr>
                <w:rFonts w:cs="DecimaWERg,Bold"/>
                <w:bCs/>
              </w:rPr>
            </w:pPr>
          </w:p>
          <w:p w:rsidR="005325AC" w:rsidRPr="00227DC3" w:rsidRDefault="005325AC" w:rsidP="000D30D1">
            <w:pPr>
              <w:rPr>
                <w:rFonts w:cs="DecimaWERg,Bold"/>
                <w:bCs/>
              </w:rPr>
            </w:pPr>
          </w:p>
          <w:p w:rsidR="005325AC" w:rsidRPr="00227DC3" w:rsidRDefault="005325AC" w:rsidP="000D30D1">
            <w:pPr>
              <w:rPr>
                <w:rFonts w:cs="DecimaWERg,Bold"/>
                <w:bCs/>
              </w:rPr>
            </w:pPr>
          </w:p>
          <w:p w:rsidR="005325AC" w:rsidRPr="00227DC3" w:rsidRDefault="005325AC" w:rsidP="000D30D1">
            <w:pPr>
              <w:rPr>
                <w:rFonts w:cs="DecimaWERg,Bold"/>
                <w:bCs/>
              </w:rPr>
            </w:pPr>
          </w:p>
          <w:p w:rsidR="005325AC" w:rsidRPr="00227DC3" w:rsidRDefault="005325AC" w:rsidP="000D30D1">
            <w:pPr>
              <w:rPr>
                <w:rFonts w:cs="DecimaWERg,Bold"/>
                <w:bCs/>
              </w:rPr>
            </w:pPr>
          </w:p>
        </w:tc>
      </w:tr>
      <w:tr w:rsidR="005325AC" w:rsidRPr="0030525A" w:rsidTr="000D30D1">
        <w:trPr>
          <w:jc w:val="center"/>
        </w:trPr>
        <w:tc>
          <w:tcPr>
            <w:tcW w:w="985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325AC" w:rsidRDefault="005325AC" w:rsidP="000D30D1">
            <w:pPr>
              <w:jc w:val="both"/>
              <w:outlineLvl w:val="0"/>
              <w:rPr>
                <w:rFonts w:eastAsia="MS Mincho" w:cs="Calibri"/>
                <w:b/>
              </w:rPr>
            </w:pPr>
            <w:r>
              <w:rPr>
                <w:rFonts w:eastAsia="MS Mincho" w:cs="Calibri"/>
                <w:b/>
              </w:rPr>
              <w:lastRenderedPageBreak/>
              <w:t>Attuazione al 31.12.2015</w:t>
            </w:r>
          </w:p>
          <w:p w:rsidR="005325AC" w:rsidRPr="002058C2" w:rsidRDefault="005325AC" w:rsidP="000D30D1">
            <w:pPr>
              <w:jc w:val="both"/>
              <w:outlineLvl w:val="0"/>
              <w:rPr>
                <w:rFonts w:cstheme="minorHAnsi"/>
                <w:bCs/>
              </w:rPr>
            </w:pPr>
            <w:r w:rsidRPr="002058C2">
              <w:rPr>
                <w:rFonts w:cstheme="minorHAnsi"/>
                <w:bCs/>
              </w:rPr>
              <w:t>È garantita la collaborazione e la partecipazione ai tavoli regionali in materia.</w:t>
            </w:r>
          </w:p>
        </w:tc>
      </w:tr>
      <w:tr w:rsidR="005325AC" w:rsidRPr="0030525A" w:rsidTr="000D30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194"/>
          <w:jc w:val="center"/>
        </w:trPr>
        <w:tc>
          <w:tcPr>
            <w:tcW w:w="985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rsidR="005325AC" w:rsidRPr="0030525A" w:rsidRDefault="005325AC" w:rsidP="000D30D1">
            <w:pPr>
              <w:jc w:val="both"/>
              <w:rPr>
                <w:rFonts w:eastAsia="MS Mincho"/>
              </w:rPr>
            </w:pPr>
            <w:r w:rsidRPr="002058C2">
              <w:rPr>
                <w:rFonts w:cs="DecimaWE Rg"/>
                <w:b/>
                <w:bCs/>
              </w:rPr>
              <w:t xml:space="preserve">Linea </w:t>
            </w:r>
            <w:r w:rsidRPr="002058C2">
              <w:rPr>
                <w:rFonts w:cs="DecimaWERg"/>
                <w:b/>
              </w:rPr>
              <w:t>progettuale</w:t>
            </w:r>
            <w:r w:rsidRPr="002058C2">
              <w:rPr>
                <w:rFonts w:cs="DecimaWE Rg"/>
                <w:b/>
                <w:bCs/>
              </w:rPr>
              <w:t xml:space="preserve"> n. 3.7.3 Sistema PACS regionale</w:t>
            </w:r>
          </w:p>
        </w:tc>
      </w:tr>
      <w:tr w:rsidR="005325AC" w:rsidRPr="0030525A" w:rsidTr="000D30D1">
        <w:trPr>
          <w:trHeight w:val="60"/>
          <w:jc w:val="center"/>
        </w:trPr>
        <w:tc>
          <w:tcPr>
            <w:tcW w:w="4533" w:type="dxa"/>
            <w:tcBorders>
              <w:top w:val="single" w:sz="4" w:space="0" w:color="auto"/>
              <w:left w:val="single" w:sz="4" w:space="0" w:color="auto"/>
              <w:bottom w:val="single" w:sz="4" w:space="0" w:color="auto"/>
              <w:right w:val="single" w:sz="4" w:space="0" w:color="auto"/>
            </w:tcBorders>
            <w:shd w:val="clear" w:color="auto" w:fill="E0E0E0"/>
          </w:tcPr>
          <w:p w:rsidR="005325AC" w:rsidRPr="009C1F6D" w:rsidRDefault="005325AC" w:rsidP="000D30D1">
            <w:pPr>
              <w:jc w:val="both"/>
              <w:rPr>
                <w:rFonts w:eastAsia="Times New Roman"/>
                <w:b/>
                <w:lang w:eastAsia="it-IT"/>
              </w:rPr>
            </w:pPr>
            <w:r w:rsidRPr="009C1F6D">
              <w:rPr>
                <w:rFonts w:eastAsia="Times New Roman"/>
                <w:b/>
                <w:lang w:eastAsia="it-IT"/>
              </w:rPr>
              <w:t>Obiettivo aziendale</w:t>
            </w:r>
          </w:p>
          <w:p w:rsidR="005325AC" w:rsidRPr="0030525A" w:rsidRDefault="005325AC" w:rsidP="000D30D1">
            <w:pPr>
              <w:jc w:val="both"/>
              <w:rPr>
                <w:rFonts w:eastAsia="Times New Roman"/>
                <w:lang w:eastAsia="it-IT"/>
              </w:rPr>
            </w:pPr>
            <w:r w:rsidRPr="0030525A">
              <w:rPr>
                <w:rFonts w:cs="DecimaWERg"/>
              </w:rPr>
              <w:t>Estensione del sistema PACS all’ecografia ginecologica, all’endoscopia digestiva e alla radioterapia</w:t>
            </w:r>
          </w:p>
        </w:tc>
        <w:tc>
          <w:tcPr>
            <w:tcW w:w="5321" w:type="dxa"/>
            <w:tcBorders>
              <w:top w:val="single" w:sz="4" w:space="0" w:color="auto"/>
              <w:left w:val="single" w:sz="4" w:space="0" w:color="auto"/>
              <w:bottom w:val="single" w:sz="4" w:space="0" w:color="auto"/>
              <w:right w:val="single" w:sz="4" w:space="0" w:color="auto"/>
            </w:tcBorders>
            <w:shd w:val="clear" w:color="auto" w:fill="E0E0E0"/>
          </w:tcPr>
          <w:p w:rsidR="005325AC" w:rsidRPr="009C1F6D" w:rsidRDefault="005325AC" w:rsidP="000D30D1">
            <w:pPr>
              <w:jc w:val="both"/>
              <w:rPr>
                <w:rFonts w:eastAsia="Times New Roman"/>
                <w:b/>
                <w:lang w:eastAsia="it-IT"/>
              </w:rPr>
            </w:pPr>
            <w:r w:rsidRPr="009C1F6D">
              <w:rPr>
                <w:rFonts w:eastAsia="Times New Roman"/>
                <w:b/>
                <w:lang w:eastAsia="it-IT"/>
              </w:rPr>
              <w:t>Risultato atteso</w:t>
            </w:r>
          </w:p>
          <w:p w:rsidR="005325AC" w:rsidRPr="0030525A" w:rsidRDefault="005325AC" w:rsidP="000D30D1">
            <w:pPr>
              <w:spacing w:line="60" w:lineRule="atLeast"/>
              <w:jc w:val="both"/>
              <w:rPr>
                <w:rFonts w:eastAsia="Times New Roman"/>
                <w:lang w:eastAsia="it-IT"/>
              </w:rPr>
            </w:pPr>
            <w:r w:rsidRPr="0030525A">
              <w:rPr>
                <w:rFonts w:eastAsia="Times New Roman"/>
                <w:lang w:eastAsia="it-IT"/>
              </w:rPr>
              <w:t xml:space="preserve">rispetto del </w:t>
            </w:r>
            <w:proofErr w:type="spellStart"/>
            <w:r w:rsidRPr="0030525A">
              <w:rPr>
                <w:rFonts w:eastAsia="Times New Roman"/>
                <w:lang w:eastAsia="it-IT"/>
              </w:rPr>
              <w:t>cronoprogramma</w:t>
            </w:r>
            <w:proofErr w:type="spellEnd"/>
            <w:r w:rsidRPr="0030525A">
              <w:rPr>
                <w:rFonts w:eastAsia="Times New Roman"/>
                <w:lang w:eastAsia="it-IT"/>
              </w:rPr>
              <w:t xml:space="preserve"> regionale</w:t>
            </w:r>
          </w:p>
        </w:tc>
      </w:tr>
      <w:tr w:rsidR="005325AC" w:rsidRPr="0030525A" w:rsidTr="000D30D1">
        <w:trPr>
          <w:jc w:val="center"/>
        </w:trPr>
        <w:tc>
          <w:tcPr>
            <w:tcW w:w="985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325AC" w:rsidRDefault="005325AC" w:rsidP="000D30D1">
            <w:pPr>
              <w:jc w:val="both"/>
              <w:outlineLvl w:val="0"/>
              <w:rPr>
                <w:rFonts w:eastAsia="MS Mincho" w:cs="Calibri"/>
                <w:b/>
              </w:rPr>
            </w:pPr>
            <w:r>
              <w:rPr>
                <w:rFonts w:eastAsia="MS Mincho" w:cs="Calibri"/>
                <w:b/>
              </w:rPr>
              <w:t>Attuazione al 31.12.2015</w:t>
            </w:r>
          </w:p>
          <w:p w:rsidR="005325AC" w:rsidRPr="0030525A" w:rsidRDefault="005325AC" w:rsidP="000D30D1">
            <w:pPr>
              <w:jc w:val="both"/>
              <w:outlineLvl w:val="0"/>
              <w:rPr>
                <w:rFonts w:cstheme="minorHAnsi"/>
                <w:b/>
                <w:bCs/>
              </w:rPr>
            </w:pPr>
            <w:r w:rsidRPr="00C2350D">
              <w:rPr>
                <w:rFonts w:cstheme="minorHAnsi"/>
                <w:bCs/>
              </w:rPr>
              <w:t>Risulta attiv</w:t>
            </w:r>
            <w:r>
              <w:rPr>
                <w:rFonts w:cstheme="minorHAnsi"/>
                <w:bCs/>
              </w:rPr>
              <w:t>a</w:t>
            </w:r>
            <w:r w:rsidRPr="00C2350D">
              <w:rPr>
                <w:rFonts w:cstheme="minorHAnsi"/>
                <w:bCs/>
              </w:rPr>
              <w:t xml:space="preserve"> l’estensione ed integrazione del PACS del settore della diagnostica ecografica ginecologica.</w:t>
            </w:r>
            <w:r>
              <w:rPr>
                <w:rFonts w:cstheme="minorHAnsi"/>
                <w:bCs/>
              </w:rPr>
              <w:t xml:space="preserve"> Il </w:t>
            </w:r>
            <w:proofErr w:type="spellStart"/>
            <w:r>
              <w:rPr>
                <w:rFonts w:cstheme="minorHAnsi"/>
                <w:bCs/>
              </w:rPr>
              <w:t>cronoprogramma</w:t>
            </w:r>
            <w:proofErr w:type="spellEnd"/>
            <w:r>
              <w:rPr>
                <w:rFonts w:cstheme="minorHAnsi"/>
                <w:bCs/>
              </w:rPr>
              <w:t xml:space="preserve"> regionale nel corso del 2015 non ha previsto nessun coinvolgimento del CRO nel settore dell’endoscopia digestiva e non è disponibile quello relativo alla radioterapia.</w:t>
            </w:r>
          </w:p>
        </w:tc>
      </w:tr>
      <w:tr w:rsidR="005325AC" w:rsidRPr="0030525A" w:rsidTr="000D30D1">
        <w:trPr>
          <w:jc w:val="center"/>
        </w:trPr>
        <w:tc>
          <w:tcPr>
            <w:tcW w:w="9854" w:type="dxa"/>
            <w:gridSpan w:val="2"/>
            <w:tcBorders>
              <w:top w:val="single" w:sz="4" w:space="0" w:color="auto"/>
              <w:left w:val="single" w:sz="4" w:space="0" w:color="auto"/>
              <w:bottom w:val="single" w:sz="4" w:space="0" w:color="auto"/>
              <w:right w:val="single" w:sz="4" w:space="0" w:color="auto"/>
            </w:tcBorders>
          </w:tcPr>
          <w:p w:rsidR="005325AC" w:rsidRPr="0030525A" w:rsidRDefault="005325AC" w:rsidP="000D30D1">
            <w:pPr>
              <w:jc w:val="both"/>
              <w:outlineLvl w:val="0"/>
            </w:pPr>
            <w:r w:rsidRPr="0030525A">
              <w:rPr>
                <w:rFonts w:cs="DecimaWE Rg"/>
                <w:b/>
                <w:bCs/>
              </w:rPr>
              <w:t xml:space="preserve">Linea </w:t>
            </w:r>
            <w:r w:rsidRPr="0030525A">
              <w:rPr>
                <w:rFonts w:cs="DecimaWERg"/>
                <w:b/>
              </w:rPr>
              <w:t>progettuale</w:t>
            </w:r>
            <w:r w:rsidRPr="0030525A">
              <w:rPr>
                <w:rFonts w:cs="DecimaWE Rg"/>
                <w:b/>
                <w:bCs/>
              </w:rPr>
              <w:t xml:space="preserve"> n. </w:t>
            </w:r>
            <w:r>
              <w:rPr>
                <w:rFonts w:cs="DecimaWE Rg"/>
                <w:b/>
                <w:bCs/>
              </w:rPr>
              <w:t>3.8 A</w:t>
            </w:r>
            <w:r w:rsidRPr="00A17C41">
              <w:rPr>
                <w:rFonts w:cs="DecimaWE Rg"/>
                <w:b/>
                <w:bCs/>
              </w:rPr>
              <w:t>ttività a valenza regionale - Osservatorio Epidemiologico Ambientale</w:t>
            </w:r>
          </w:p>
        </w:tc>
      </w:tr>
      <w:tr w:rsidR="005325AC" w:rsidRPr="0030525A" w:rsidTr="000D30D1">
        <w:trPr>
          <w:trHeight w:val="809"/>
          <w:jc w:val="center"/>
        </w:trPr>
        <w:tc>
          <w:tcPr>
            <w:tcW w:w="4533" w:type="dxa"/>
            <w:tcBorders>
              <w:top w:val="single" w:sz="4" w:space="0" w:color="auto"/>
              <w:left w:val="single" w:sz="4" w:space="0" w:color="auto"/>
              <w:bottom w:val="single" w:sz="4" w:space="0" w:color="auto"/>
              <w:right w:val="single" w:sz="4" w:space="0" w:color="auto"/>
            </w:tcBorders>
            <w:shd w:val="clear" w:color="auto" w:fill="E0E0E0"/>
          </w:tcPr>
          <w:p w:rsidR="005325AC" w:rsidRPr="009C1F6D" w:rsidRDefault="005325AC" w:rsidP="000D30D1">
            <w:pPr>
              <w:rPr>
                <w:b/>
              </w:rPr>
            </w:pPr>
            <w:r w:rsidRPr="009C1F6D">
              <w:rPr>
                <w:b/>
              </w:rPr>
              <w:t>Obiettivo aziendale</w:t>
            </w:r>
          </w:p>
          <w:p w:rsidR="005325AC" w:rsidRDefault="005325AC" w:rsidP="000D30D1">
            <w:pPr>
              <w:rPr>
                <w:color w:val="000000"/>
              </w:rPr>
            </w:pPr>
            <w:r>
              <w:rPr>
                <w:color w:val="000000"/>
              </w:rPr>
              <w:t xml:space="preserve">partecipazione alle attività previste per l'anno 2015 </w:t>
            </w:r>
          </w:p>
          <w:p w:rsidR="005325AC" w:rsidRPr="0030525A" w:rsidRDefault="005325AC" w:rsidP="000D30D1"/>
        </w:tc>
        <w:tc>
          <w:tcPr>
            <w:tcW w:w="5321" w:type="dxa"/>
            <w:tcBorders>
              <w:top w:val="single" w:sz="4" w:space="0" w:color="auto"/>
              <w:left w:val="single" w:sz="4" w:space="0" w:color="auto"/>
              <w:bottom w:val="single" w:sz="4" w:space="0" w:color="auto"/>
              <w:right w:val="single" w:sz="4" w:space="0" w:color="auto"/>
            </w:tcBorders>
            <w:shd w:val="clear" w:color="auto" w:fill="E0E0E0"/>
          </w:tcPr>
          <w:p w:rsidR="005325AC" w:rsidRPr="009C1F6D" w:rsidRDefault="005325AC" w:rsidP="000D30D1">
            <w:pPr>
              <w:jc w:val="both"/>
              <w:rPr>
                <w:b/>
              </w:rPr>
            </w:pPr>
            <w:r w:rsidRPr="009C1F6D">
              <w:rPr>
                <w:b/>
              </w:rPr>
              <w:t>Risultato atteso</w:t>
            </w:r>
          </w:p>
          <w:p w:rsidR="005325AC" w:rsidRDefault="005325AC" w:rsidP="000D30D1">
            <w:pPr>
              <w:jc w:val="both"/>
              <w:rPr>
                <w:color w:val="000000"/>
              </w:rPr>
            </w:pPr>
            <w:r>
              <w:rPr>
                <w:color w:val="000000"/>
              </w:rPr>
              <w:t>elaborazione di analisi e report per le aree di Trieste e Monfalcone e Udine principalmente per quanto attiene alle patologie neoplastiche</w:t>
            </w:r>
          </w:p>
          <w:p w:rsidR="005325AC" w:rsidRPr="0030525A" w:rsidRDefault="005325AC" w:rsidP="000D30D1">
            <w:pPr>
              <w:pStyle w:val="Paragrafoelenco"/>
              <w:spacing w:after="0" w:line="240" w:lineRule="auto"/>
              <w:ind w:left="230"/>
              <w:jc w:val="both"/>
            </w:pPr>
          </w:p>
        </w:tc>
      </w:tr>
      <w:tr w:rsidR="005325AC" w:rsidRPr="001A5254" w:rsidTr="000D30D1">
        <w:trPr>
          <w:jc w:val="center"/>
        </w:trPr>
        <w:tc>
          <w:tcPr>
            <w:tcW w:w="985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325AC" w:rsidRPr="000C0C4D" w:rsidRDefault="005325AC" w:rsidP="000D30D1">
            <w:pPr>
              <w:jc w:val="both"/>
              <w:outlineLvl w:val="0"/>
              <w:rPr>
                <w:rFonts w:eastAsia="MS Mincho" w:cs="Calibri"/>
                <w:b/>
              </w:rPr>
            </w:pPr>
            <w:r w:rsidRPr="000C0C4D">
              <w:rPr>
                <w:rFonts w:eastAsia="MS Mincho" w:cs="Calibri"/>
                <w:b/>
              </w:rPr>
              <w:t>Attuazione al 31.12.2015</w:t>
            </w:r>
          </w:p>
          <w:p w:rsidR="005325AC" w:rsidRPr="000C0C4D" w:rsidRDefault="005325AC" w:rsidP="000D30D1">
            <w:pPr>
              <w:spacing w:line="253" w:lineRule="atLeast"/>
              <w:jc w:val="both"/>
              <w:rPr>
                <w:rFonts w:eastAsia="MS Mincho" w:cs="Calibri"/>
              </w:rPr>
            </w:pPr>
            <w:r w:rsidRPr="000C0C4D">
              <w:rPr>
                <w:rFonts w:eastAsia="Times New Roman"/>
                <w:bCs/>
              </w:rPr>
              <w:t>Lo studio è stato portato a termine, è stato consegnato il report definitivo alla Direzione Centrale Salute FVG al 31 dicembre 2015. Tale rapporto è stato in seguito elaborato graficamente ed è disponibile sul sito della Regione FVG.</w:t>
            </w:r>
          </w:p>
        </w:tc>
      </w:tr>
    </w:tbl>
    <w:p w:rsidR="005325AC" w:rsidRPr="00C14FE3" w:rsidRDefault="005325AC" w:rsidP="00A34A2D">
      <w:pPr>
        <w:pStyle w:val="Paragrafoelenco"/>
        <w:autoSpaceDE w:val="0"/>
        <w:autoSpaceDN w:val="0"/>
        <w:adjustRightInd w:val="0"/>
        <w:spacing w:after="0" w:line="240" w:lineRule="auto"/>
        <w:ind w:left="0"/>
        <w:contextualSpacing w:val="0"/>
        <w:jc w:val="both"/>
        <w:rPr>
          <w:rFonts w:cs="Times New Roman"/>
          <w:b/>
          <w:highlight w:val="yellow"/>
        </w:rPr>
      </w:pPr>
    </w:p>
    <w:p w:rsidR="00A143DB" w:rsidRPr="00C14FE3" w:rsidRDefault="00A143DB" w:rsidP="00A34A2D">
      <w:pPr>
        <w:pStyle w:val="Default"/>
        <w:jc w:val="both"/>
        <w:rPr>
          <w:smallCaps/>
          <w:sz w:val="8"/>
          <w:szCs w:val="8"/>
          <w:highlight w:val="yellow"/>
        </w:rPr>
      </w:pPr>
    </w:p>
    <w:p w:rsidR="008A29F1" w:rsidRDefault="008A29F1" w:rsidP="00A535A3">
      <w:pPr>
        <w:pStyle w:val="Paragrafoelenco"/>
        <w:autoSpaceDE w:val="0"/>
        <w:autoSpaceDN w:val="0"/>
        <w:adjustRightInd w:val="0"/>
        <w:ind w:left="0"/>
        <w:jc w:val="both"/>
        <w:rPr>
          <w:rFonts w:cs="Times New Roman"/>
          <w:b/>
        </w:rPr>
      </w:pPr>
    </w:p>
    <w:p w:rsidR="008A29F1" w:rsidRDefault="008A29F1" w:rsidP="00A535A3">
      <w:pPr>
        <w:pStyle w:val="Paragrafoelenco"/>
        <w:autoSpaceDE w:val="0"/>
        <w:autoSpaceDN w:val="0"/>
        <w:adjustRightInd w:val="0"/>
        <w:ind w:left="0"/>
        <w:jc w:val="both"/>
        <w:rPr>
          <w:rFonts w:cs="Times New Roman"/>
          <w:b/>
        </w:rPr>
      </w:pPr>
    </w:p>
    <w:p w:rsidR="008A29F1" w:rsidRDefault="008A29F1" w:rsidP="00A535A3">
      <w:pPr>
        <w:pStyle w:val="Paragrafoelenco"/>
        <w:autoSpaceDE w:val="0"/>
        <w:autoSpaceDN w:val="0"/>
        <w:adjustRightInd w:val="0"/>
        <w:ind w:left="0"/>
        <w:jc w:val="both"/>
        <w:rPr>
          <w:rFonts w:cs="Times New Roman"/>
          <w:b/>
        </w:rPr>
      </w:pPr>
    </w:p>
    <w:p w:rsidR="008A29F1" w:rsidRDefault="008A29F1" w:rsidP="00A535A3">
      <w:pPr>
        <w:pStyle w:val="Paragrafoelenco"/>
        <w:autoSpaceDE w:val="0"/>
        <w:autoSpaceDN w:val="0"/>
        <w:adjustRightInd w:val="0"/>
        <w:ind w:left="0"/>
        <w:jc w:val="both"/>
        <w:rPr>
          <w:rFonts w:cs="Times New Roman"/>
          <w:b/>
        </w:rPr>
      </w:pPr>
    </w:p>
    <w:p w:rsidR="008A29F1" w:rsidRDefault="008A29F1" w:rsidP="00A535A3">
      <w:pPr>
        <w:pStyle w:val="Paragrafoelenco"/>
        <w:autoSpaceDE w:val="0"/>
        <w:autoSpaceDN w:val="0"/>
        <w:adjustRightInd w:val="0"/>
        <w:ind w:left="0"/>
        <w:jc w:val="both"/>
        <w:rPr>
          <w:rFonts w:cs="Times New Roman"/>
          <w:b/>
        </w:rPr>
      </w:pPr>
    </w:p>
    <w:p w:rsidR="008A29F1" w:rsidRDefault="008A29F1" w:rsidP="00A535A3">
      <w:pPr>
        <w:pStyle w:val="Paragrafoelenco"/>
        <w:autoSpaceDE w:val="0"/>
        <w:autoSpaceDN w:val="0"/>
        <w:adjustRightInd w:val="0"/>
        <w:ind w:left="0"/>
        <w:jc w:val="both"/>
        <w:rPr>
          <w:rFonts w:cs="Times New Roman"/>
          <w:b/>
        </w:rPr>
      </w:pPr>
    </w:p>
    <w:p w:rsidR="005C0A33" w:rsidRDefault="005C0A33" w:rsidP="007A0D39">
      <w:pPr>
        <w:pStyle w:val="Paragrafoelenco"/>
        <w:numPr>
          <w:ilvl w:val="0"/>
          <w:numId w:val="33"/>
        </w:numPr>
        <w:autoSpaceDE w:val="0"/>
        <w:autoSpaceDN w:val="0"/>
        <w:adjustRightInd w:val="0"/>
        <w:spacing w:after="0" w:line="240" w:lineRule="auto"/>
        <w:contextualSpacing w:val="0"/>
        <w:jc w:val="both"/>
        <w:rPr>
          <w:rFonts w:cs="Times New Roman"/>
          <w:b/>
        </w:rPr>
      </w:pPr>
      <w:r w:rsidRPr="008A29F1">
        <w:rPr>
          <w:rFonts w:cs="Times New Roman"/>
          <w:b/>
        </w:rPr>
        <w:lastRenderedPageBreak/>
        <w:t xml:space="preserve">Monitoraggio degli obiettivi contenuti nel Patto </w:t>
      </w:r>
      <w:r w:rsidR="00A535A3" w:rsidRPr="008A29F1">
        <w:rPr>
          <w:rFonts w:cs="Times New Roman"/>
          <w:b/>
        </w:rPr>
        <w:t>annuale per l’anno 201</w:t>
      </w:r>
      <w:r w:rsidR="005325AC" w:rsidRPr="008A29F1">
        <w:rPr>
          <w:rFonts w:cs="Times New Roman"/>
          <w:b/>
        </w:rPr>
        <w:t>5</w:t>
      </w:r>
      <w:r w:rsidR="00A535A3" w:rsidRPr="008A29F1">
        <w:rPr>
          <w:rFonts w:cs="Times New Roman"/>
          <w:b/>
        </w:rPr>
        <w:t xml:space="preserve"> ai fini della valutazione annuale dei direttori generali degli enti del SSR e della corresponsione della quota integrativa al trattamento economico</w:t>
      </w:r>
    </w:p>
    <w:p w:rsidR="008A29F1" w:rsidRDefault="008A29F1" w:rsidP="00A535A3">
      <w:pPr>
        <w:pStyle w:val="Paragrafoelenco"/>
        <w:autoSpaceDE w:val="0"/>
        <w:autoSpaceDN w:val="0"/>
        <w:adjustRightInd w:val="0"/>
        <w:ind w:left="0"/>
        <w:jc w:val="both"/>
        <w:rPr>
          <w:rFonts w:cs="Times New Roman"/>
          <w:b/>
        </w:rPr>
      </w:pPr>
    </w:p>
    <w:p w:rsidR="008A29F1" w:rsidRPr="00B42843" w:rsidRDefault="008A29F1" w:rsidP="008A29F1">
      <w:pPr>
        <w:pStyle w:val="Paragrafoelenco"/>
        <w:numPr>
          <w:ilvl w:val="0"/>
          <w:numId w:val="10"/>
        </w:numPr>
        <w:tabs>
          <w:tab w:val="left" w:pos="2808"/>
          <w:tab w:val="left" w:pos="6354"/>
          <w:tab w:val="left" w:pos="7530"/>
        </w:tabs>
        <w:spacing w:after="0" w:line="240" w:lineRule="auto"/>
        <w:ind w:left="180" w:hanging="270"/>
        <w:rPr>
          <w:b/>
        </w:rPr>
      </w:pPr>
      <w:r w:rsidRPr="00B42843">
        <w:rPr>
          <w:b/>
        </w:rPr>
        <w:t>Tempi di Attesa</w:t>
      </w:r>
    </w:p>
    <w:tbl>
      <w:tblPr>
        <w:tblW w:w="0" w:type="auto"/>
        <w:jc w:val="center"/>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660"/>
        <w:gridCol w:w="1868"/>
        <w:gridCol w:w="4140"/>
        <w:gridCol w:w="1206"/>
      </w:tblGrid>
      <w:tr w:rsidR="008A29F1" w:rsidRPr="00E05DF1" w:rsidTr="000D30D1">
        <w:trPr>
          <w:jc w:val="center"/>
        </w:trPr>
        <w:tc>
          <w:tcPr>
            <w:tcW w:w="2660" w:type="dxa"/>
            <w:tcBorders>
              <w:bottom w:val="single" w:sz="4" w:space="0" w:color="000000"/>
            </w:tcBorders>
          </w:tcPr>
          <w:p w:rsidR="008A29F1" w:rsidRPr="00E05DF1" w:rsidRDefault="008A29F1" w:rsidP="000D30D1">
            <w:pPr>
              <w:ind w:right="98"/>
              <w:jc w:val="center"/>
              <w:rPr>
                <w:rFonts w:eastAsia="Calibri" w:cs="Arial"/>
              </w:rPr>
            </w:pPr>
            <w:r w:rsidRPr="00E05DF1">
              <w:rPr>
                <w:rFonts w:eastAsia="Calibri" w:cs="Arial"/>
                <w:b/>
                <w:bCs/>
              </w:rPr>
              <w:t>Obiettivo</w:t>
            </w:r>
          </w:p>
        </w:tc>
        <w:tc>
          <w:tcPr>
            <w:tcW w:w="1868" w:type="dxa"/>
            <w:tcBorders>
              <w:bottom w:val="single" w:sz="4" w:space="0" w:color="000000"/>
            </w:tcBorders>
          </w:tcPr>
          <w:p w:rsidR="008A29F1" w:rsidRPr="00E05DF1" w:rsidRDefault="008A29F1" w:rsidP="000D30D1">
            <w:pPr>
              <w:ind w:right="98"/>
              <w:jc w:val="center"/>
              <w:rPr>
                <w:rFonts w:eastAsia="Calibri" w:cs="Arial"/>
              </w:rPr>
            </w:pPr>
            <w:r w:rsidRPr="00E05DF1">
              <w:rPr>
                <w:rFonts w:eastAsia="Calibri" w:cs="Arial"/>
                <w:b/>
                <w:bCs/>
              </w:rPr>
              <w:t>Risultato atteso</w:t>
            </w:r>
          </w:p>
        </w:tc>
        <w:tc>
          <w:tcPr>
            <w:tcW w:w="4140" w:type="dxa"/>
            <w:tcBorders>
              <w:bottom w:val="single" w:sz="4" w:space="0" w:color="000000"/>
            </w:tcBorders>
          </w:tcPr>
          <w:p w:rsidR="008A29F1" w:rsidRPr="00E05DF1" w:rsidRDefault="008A29F1" w:rsidP="000D30D1">
            <w:pPr>
              <w:ind w:left="72" w:right="98" w:hanging="180"/>
              <w:jc w:val="center"/>
              <w:rPr>
                <w:rFonts w:eastAsia="Calibri" w:cs="Arial"/>
                <w:b/>
                <w:bCs/>
              </w:rPr>
            </w:pPr>
            <w:r w:rsidRPr="00E05DF1">
              <w:rPr>
                <w:rFonts w:eastAsia="Calibri" w:cs="Arial"/>
                <w:b/>
                <w:bCs/>
              </w:rPr>
              <w:t>Modalità di valutazione</w:t>
            </w:r>
          </w:p>
        </w:tc>
        <w:tc>
          <w:tcPr>
            <w:tcW w:w="1206" w:type="dxa"/>
            <w:tcBorders>
              <w:bottom w:val="single" w:sz="4" w:space="0" w:color="000000"/>
            </w:tcBorders>
          </w:tcPr>
          <w:p w:rsidR="008A29F1" w:rsidRPr="00E05DF1" w:rsidRDefault="008A29F1" w:rsidP="000D30D1">
            <w:pPr>
              <w:ind w:left="72" w:right="98" w:hanging="180"/>
              <w:jc w:val="center"/>
              <w:rPr>
                <w:rFonts w:eastAsia="Calibri" w:cs="Arial"/>
              </w:rPr>
            </w:pPr>
            <w:r w:rsidRPr="00E05DF1">
              <w:rPr>
                <w:rFonts w:eastAsia="Calibri" w:cs="Arial"/>
                <w:b/>
                <w:bCs/>
              </w:rPr>
              <w:t>Punteggio</w:t>
            </w:r>
          </w:p>
        </w:tc>
      </w:tr>
      <w:tr w:rsidR="008A29F1" w:rsidRPr="00E05DF1" w:rsidTr="000D30D1">
        <w:trPr>
          <w:jc w:val="center"/>
        </w:trPr>
        <w:tc>
          <w:tcPr>
            <w:tcW w:w="2660" w:type="dxa"/>
            <w:shd w:val="clear" w:color="auto" w:fill="D9D9D9" w:themeFill="background1" w:themeFillShade="D9"/>
          </w:tcPr>
          <w:p w:rsidR="008A29F1" w:rsidRPr="00E05DF1" w:rsidRDefault="008A29F1" w:rsidP="000D30D1">
            <w:pPr>
              <w:tabs>
                <w:tab w:val="num" w:pos="0"/>
              </w:tabs>
              <w:ind w:left="-38" w:right="98" w:firstLine="38"/>
              <w:rPr>
                <w:rFonts w:eastAsia="Calibri" w:cs="Arial"/>
              </w:rPr>
            </w:pPr>
            <w:r w:rsidRPr="00E05DF1">
              <w:rPr>
                <w:rFonts w:cs="Calibri"/>
                <w:color w:val="000000"/>
              </w:rPr>
              <w:t>Rispetto degli standard previsti per i tempi di attesa</w:t>
            </w:r>
          </w:p>
        </w:tc>
        <w:tc>
          <w:tcPr>
            <w:tcW w:w="1868" w:type="dxa"/>
            <w:shd w:val="clear" w:color="auto" w:fill="D9D9D9" w:themeFill="background1" w:themeFillShade="D9"/>
          </w:tcPr>
          <w:p w:rsidR="008A29F1" w:rsidRPr="00E05DF1" w:rsidRDefault="008A29F1" w:rsidP="000D30D1">
            <w:pPr>
              <w:tabs>
                <w:tab w:val="num" w:pos="0"/>
              </w:tabs>
              <w:autoSpaceDE w:val="0"/>
              <w:autoSpaceDN w:val="0"/>
              <w:adjustRightInd w:val="0"/>
              <w:ind w:left="-38" w:right="98" w:firstLine="38"/>
              <w:jc w:val="both"/>
              <w:rPr>
                <w:rFonts w:eastAsia="Calibri" w:cs="Arial"/>
              </w:rPr>
            </w:pPr>
            <w:r w:rsidRPr="00E05DF1">
              <w:rPr>
                <w:rFonts w:cs="Calibri"/>
                <w:color w:val="000000"/>
              </w:rPr>
              <w:t>I tempi d'attesa previsti dalla DGR 1439/2011 sono rispettati</w:t>
            </w:r>
            <w:r w:rsidRPr="00E05DF1">
              <w:rPr>
                <w:rFonts w:eastAsia="Calibri" w:cs="Arial"/>
              </w:rPr>
              <w:t xml:space="preserve"> </w:t>
            </w:r>
          </w:p>
        </w:tc>
        <w:tc>
          <w:tcPr>
            <w:tcW w:w="4140" w:type="dxa"/>
            <w:shd w:val="clear" w:color="auto" w:fill="D9D9D9" w:themeFill="background1" w:themeFillShade="D9"/>
          </w:tcPr>
          <w:p w:rsidR="008A29F1" w:rsidRPr="00E05DF1" w:rsidRDefault="008A29F1" w:rsidP="000D30D1">
            <w:pPr>
              <w:tabs>
                <w:tab w:val="num" w:pos="0"/>
              </w:tabs>
              <w:ind w:left="-38" w:right="98" w:firstLine="38"/>
              <w:jc w:val="both"/>
              <w:rPr>
                <w:rFonts w:eastAsia="Calibri" w:cs="Arial"/>
              </w:rPr>
            </w:pPr>
            <w:r w:rsidRPr="00E05DF1">
              <w:rPr>
                <w:rFonts w:cs="Calibri"/>
                <w:color w:val="000000"/>
              </w:rPr>
              <w:t>Rispetto dei tempi di attesa a partire dal 1/10/2015 come da documento allegato alla DGR 1364/2015</w:t>
            </w:r>
          </w:p>
        </w:tc>
        <w:tc>
          <w:tcPr>
            <w:tcW w:w="1206" w:type="dxa"/>
            <w:shd w:val="clear" w:color="auto" w:fill="D9D9D9" w:themeFill="background1" w:themeFillShade="D9"/>
          </w:tcPr>
          <w:p w:rsidR="008A29F1" w:rsidRPr="00E05DF1" w:rsidRDefault="008A29F1" w:rsidP="000D30D1">
            <w:pPr>
              <w:tabs>
                <w:tab w:val="num" w:pos="0"/>
              </w:tabs>
              <w:ind w:left="-38" w:right="98" w:firstLine="38"/>
              <w:jc w:val="center"/>
              <w:rPr>
                <w:rFonts w:eastAsia="Calibri" w:cs="Arial"/>
              </w:rPr>
            </w:pPr>
            <w:r w:rsidRPr="00E05DF1">
              <w:rPr>
                <w:rFonts w:eastAsia="Calibri" w:cs="Arial"/>
              </w:rPr>
              <w:t>25</w:t>
            </w:r>
          </w:p>
        </w:tc>
      </w:tr>
    </w:tbl>
    <w:tbl>
      <w:tblPr>
        <w:tblStyle w:val="Grigliatabella"/>
        <w:tblW w:w="0" w:type="auto"/>
        <w:tblLook w:val="01E0"/>
      </w:tblPr>
      <w:tblGrid>
        <w:gridCol w:w="9854"/>
      </w:tblGrid>
      <w:tr w:rsidR="008A29F1" w:rsidRPr="00E036A0" w:rsidTr="000D30D1">
        <w:trPr>
          <w:tblHeader/>
        </w:trPr>
        <w:tc>
          <w:tcPr>
            <w:tcW w:w="9854" w:type="dxa"/>
          </w:tcPr>
          <w:p w:rsidR="008A29F1" w:rsidRPr="00E036A0" w:rsidRDefault="008A29F1" w:rsidP="000D30D1">
            <w:pPr>
              <w:jc w:val="center"/>
              <w:rPr>
                <w:b/>
              </w:rPr>
            </w:pPr>
            <w:r w:rsidRPr="00E036A0">
              <w:rPr>
                <w:b/>
              </w:rPr>
              <w:t>risultato ottenuto al 31.12.2015</w:t>
            </w:r>
          </w:p>
        </w:tc>
      </w:tr>
      <w:tr w:rsidR="008A29F1" w:rsidRPr="00E036A0" w:rsidTr="000D30D1">
        <w:trPr>
          <w:trHeight w:val="434"/>
        </w:trPr>
        <w:tc>
          <w:tcPr>
            <w:tcW w:w="9854" w:type="dxa"/>
          </w:tcPr>
          <w:p w:rsidR="008A29F1" w:rsidRPr="009C4C61" w:rsidRDefault="008A29F1" w:rsidP="000D30D1">
            <w:pPr>
              <w:jc w:val="both"/>
            </w:pPr>
            <w:r w:rsidRPr="009C4C61">
              <w:t>Nel corso del 2015 la Regione non ha formalmente completato la revisione del metodo di calcolo degli Indici di performance, ovvero non sono stati definiti i dettagli per il passaggio dalla rilevazione a “settimana indice” (campionari</w:t>
            </w:r>
            <w:r>
              <w:t>a</w:t>
            </w:r>
            <w:r w:rsidRPr="009C4C61">
              <w:t>) al monitoraggio “in tempo reale”, secondo criteri di continuità, dell’erogato o prenotato o entrambi. Il report inviato dal livello regionale fa riferimento al periodo che va da metà novembre</w:t>
            </w:r>
            <w:r>
              <w:t>,</w:t>
            </w:r>
            <w:r w:rsidRPr="009C4C61">
              <w:t xml:space="preserve"> al 31 dicembre 2015</w:t>
            </w:r>
            <w:r>
              <w:t>,</w:t>
            </w:r>
            <w:r w:rsidRPr="009C4C61">
              <w:t xml:space="preserve"> mentre l’obiettivo di cui sopra prevede un monitoraggio sull’ultimo trimestre 2015. Si sottolinea altresì che la rilevazione fa riferimento ai soli assistiti della Azienda Sanitaria 5 di Pordenone, mentre l’ambito di </w:t>
            </w:r>
            <w:r>
              <w:t xml:space="preserve">popolazione </w:t>
            </w:r>
            <w:r w:rsidRPr="009C4C61">
              <w:t xml:space="preserve">dell’Istituto è regionale e nazionale, come previsto dalla </w:t>
            </w:r>
            <w:proofErr w:type="spellStart"/>
            <w:r w:rsidRPr="009C4C61">
              <w:t>mission</w:t>
            </w:r>
            <w:proofErr w:type="spellEnd"/>
            <w:r w:rsidRPr="009C4C61">
              <w:t xml:space="preserve"> di IRCCS. </w:t>
            </w:r>
            <w:r>
              <w:t xml:space="preserve">Ciò detto, </w:t>
            </w:r>
            <w:r w:rsidRPr="009C4C61">
              <w:t>per gestire criticità di determinati momenti, che il sistema dell’offerta dell’azienda ha evidenziato, nel corso del 2015, è stato condotto un articolato programma di riorganizzazione dell’offerta medesima e di revisione delle agende informatizzate di prenotazione, finalizzato al miglioramento delle capacità di risposta alle richieste degli assistiti. In particolare si è provveduto a:</w:t>
            </w:r>
          </w:p>
          <w:p w:rsidR="008A29F1" w:rsidRPr="009C4C61" w:rsidRDefault="008A29F1" w:rsidP="008A29F1">
            <w:pPr>
              <w:pStyle w:val="Paragrafoelenco"/>
              <w:numPr>
                <w:ilvl w:val="0"/>
                <w:numId w:val="31"/>
              </w:numPr>
              <w:ind w:left="540" w:hanging="450"/>
              <w:contextualSpacing w:val="0"/>
              <w:jc w:val="both"/>
            </w:pPr>
            <w:r w:rsidRPr="009C4C61">
              <w:t>rivedere periodicamente l’offerta delle prestazioni erogate presso l’Istituto, ridefinendo i volumi complessivi e quelli attribuiti alle diverse priorità cliniche;</w:t>
            </w:r>
          </w:p>
          <w:p w:rsidR="008A29F1" w:rsidRPr="009C4C61" w:rsidRDefault="008A29F1" w:rsidP="008A29F1">
            <w:pPr>
              <w:pStyle w:val="Paragrafoelenco"/>
              <w:numPr>
                <w:ilvl w:val="0"/>
                <w:numId w:val="31"/>
              </w:numPr>
              <w:ind w:left="540" w:hanging="450"/>
              <w:contextualSpacing w:val="0"/>
              <w:jc w:val="both"/>
              <w:rPr>
                <w:strike/>
              </w:rPr>
            </w:pPr>
            <w:r w:rsidRPr="009C4C61">
              <w:t>rendere progressivamente disponibile la prenotazione secondo priorità di tutte le prestazioni;</w:t>
            </w:r>
          </w:p>
          <w:p w:rsidR="008A29F1" w:rsidRPr="009C4C61" w:rsidRDefault="008A29F1" w:rsidP="008A29F1">
            <w:pPr>
              <w:pStyle w:val="Paragrafoelenco"/>
              <w:numPr>
                <w:ilvl w:val="0"/>
                <w:numId w:val="31"/>
              </w:numPr>
              <w:ind w:left="540" w:hanging="450"/>
              <w:contextualSpacing w:val="0"/>
              <w:jc w:val="both"/>
            </w:pPr>
            <w:r w:rsidRPr="009C4C61">
              <w:t>ridefinire con gli specialisti ambulatoriali le regole di erogazione delle prestazioni da loro assicurate, riequilibrando l’offerta fra prima visita e controlli;</w:t>
            </w:r>
          </w:p>
          <w:p w:rsidR="008A29F1" w:rsidRPr="00F220C6" w:rsidRDefault="008A29F1" w:rsidP="008A29F1">
            <w:pPr>
              <w:pStyle w:val="Paragrafoelenco"/>
              <w:numPr>
                <w:ilvl w:val="0"/>
                <w:numId w:val="31"/>
              </w:numPr>
              <w:ind w:left="540" w:hanging="450"/>
              <w:contextualSpacing w:val="0"/>
              <w:jc w:val="both"/>
              <w:rPr>
                <w:rFonts w:ascii="Calibri" w:hAnsi="Calibri"/>
              </w:rPr>
            </w:pPr>
            <w:r w:rsidRPr="009C4C61">
              <w:t>mantenere a livello aziendale il monitoraggio periodico delle prestazioni ambulatoriali e delle attività di ricovero, sia in termini di volumi sia di tempi di attesa, finalizzato anche alla definizione degli obiettivi di budget 2016 delle singole strutture operative.</w:t>
            </w:r>
          </w:p>
        </w:tc>
      </w:tr>
    </w:tbl>
    <w:p w:rsidR="008A29F1" w:rsidRPr="008E70B1" w:rsidRDefault="008A29F1" w:rsidP="008A29F1"/>
    <w:p w:rsidR="008A29F1" w:rsidRDefault="008A29F1" w:rsidP="008A29F1"/>
    <w:p w:rsidR="008A29F1" w:rsidRPr="008E70B1" w:rsidRDefault="008A29F1" w:rsidP="008A29F1">
      <w:pPr>
        <w:pStyle w:val="Paragrafoelenco"/>
        <w:numPr>
          <w:ilvl w:val="0"/>
          <w:numId w:val="10"/>
        </w:numPr>
        <w:tabs>
          <w:tab w:val="left" w:pos="2808"/>
          <w:tab w:val="left" w:pos="6354"/>
          <w:tab w:val="left" w:pos="7530"/>
        </w:tabs>
        <w:spacing w:after="0" w:line="240" w:lineRule="auto"/>
        <w:ind w:left="180" w:hanging="270"/>
        <w:rPr>
          <w:b/>
        </w:rPr>
      </w:pPr>
      <w:r w:rsidRPr="00E05DF1">
        <w:rPr>
          <w:b/>
        </w:rPr>
        <w:t>Linee progettuali</w:t>
      </w:r>
    </w:p>
    <w:tbl>
      <w:tblPr>
        <w:tblStyle w:val="Grigliatabella"/>
        <w:tblW w:w="0" w:type="auto"/>
        <w:tblLook w:val="01E0"/>
      </w:tblPr>
      <w:tblGrid>
        <w:gridCol w:w="1809"/>
        <w:gridCol w:w="3753"/>
        <w:gridCol w:w="3096"/>
        <w:gridCol w:w="1196"/>
      </w:tblGrid>
      <w:tr w:rsidR="008A29F1" w:rsidRPr="00E036A0" w:rsidTr="000D30D1">
        <w:trPr>
          <w:tblHeader/>
        </w:trPr>
        <w:tc>
          <w:tcPr>
            <w:tcW w:w="1809" w:type="dxa"/>
            <w:tcBorders>
              <w:bottom w:val="single" w:sz="4" w:space="0" w:color="auto"/>
            </w:tcBorders>
          </w:tcPr>
          <w:p w:rsidR="008A29F1" w:rsidRPr="00E036A0" w:rsidRDefault="008A29F1" w:rsidP="000D30D1">
            <w:pPr>
              <w:jc w:val="center"/>
              <w:rPr>
                <w:b/>
              </w:rPr>
            </w:pPr>
            <w:r w:rsidRPr="00E036A0">
              <w:rPr>
                <w:b/>
              </w:rPr>
              <w:t>obiettivo aziendale</w:t>
            </w:r>
          </w:p>
        </w:tc>
        <w:tc>
          <w:tcPr>
            <w:tcW w:w="3753" w:type="dxa"/>
            <w:tcBorders>
              <w:bottom w:val="single" w:sz="4" w:space="0" w:color="auto"/>
            </w:tcBorders>
          </w:tcPr>
          <w:p w:rsidR="008A29F1" w:rsidRPr="00E036A0" w:rsidRDefault="008A29F1" w:rsidP="000D30D1">
            <w:pPr>
              <w:jc w:val="center"/>
              <w:rPr>
                <w:b/>
              </w:rPr>
            </w:pPr>
            <w:r w:rsidRPr="00E036A0">
              <w:rPr>
                <w:b/>
              </w:rPr>
              <w:t>risultato atteso</w:t>
            </w:r>
          </w:p>
        </w:tc>
        <w:tc>
          <w:tcPr>
            <w:tcW w:w="3096" w:type="dxa"/>
            <w:tcBorders>
              <w:bottom w:val="single" w:sz="4" w:space="0" w:color="auto"/>
            </w:tcBorders>
          </w:tcPr>
          <w:p w:rsidR="008A29F1" w:rsidRPr="00E036A0" w:rsidRDefault="008A29F1" w:rsidP="000D30D1">
            <w:pPr>
              <w:jc w:val="center"/>
              <w:rPr>
                <w:b/>
              </w:rPr>
            </w:pPr>
            <w:r w:rsidRPr="00E036A0">
              <w:rPr>
                <w:b/>
              </w:rPr>
              <w:t>Modalità di valutazione</w:t>
            </w:r>
          </w:p>
        </w:tc>
        <w:tc>
          <w:tcPr>
            <w:tcW w:w="1196" w:type="dxa"/>
            <w:tcBorders>
              <w:bottom w:val="single" w:sz="4" w:space="0" w:color="auto"/>
            </w:tcBorders>
          </w:tcPr>
          <w:p w:rsidR="008A29F1" w:rsidRPr="00E036A0" w:rsidRDefault="008A29F1" w:rsidP="000D30D1">
            <w:pPr>
              <w:jc w:val="center"/>
              <w:rPr>
                <w:b/>
              </w:rPr>
            </w:pPr>
            <w:r w:rsidRPr="00E036A0">
              <w:rPr>
                <w:b/>
              </w:rPr>
              <w:t>punteggio</w:t>
            </w:r>
          </w:p>
        </w:tc>
      </w:tr>
      <w:tr w:rsidR="008A29F1" w:rsidRPr="00E036A0" w:rsidTr="000D30D1">
        <w:trPr>
          <w:trHeight w:val="434"/>
        </w:trPr>
        <w:tc>
          <w:tcPr>
            <w:tcW w:w="1809" w:type="dxa"/>
            <w:shd w:val="clear" w:color="auto" w:fill="D9D9D9" w:themeFill="background1" w:themeFillShade="D9"/>
          </w:tcPr>
          <w:p w:rsidR="008A29F1" w:rsidRPr="00E036A0" w:rsidRDefault="008A29F1" w:rsidP="000D30D1">
            <w:pPr>
              <w:autoSpaceDE w:val="0"/>
              <w:autoSpaceDN w:val="0"/>
              <w:adjustRightInd w:val="0"/>
              <w:jc w:val="both"/>
            </w:pPr>
            <w:r w:rsidRPr="00E036A0">
              <w:rPr>
                <w:rFonts w:cs="Calibri"/>
                <w:color w:val="000000"/>
              </w:rPr>
              <w:t xml:space="preserve">Appropriatezza del </w:t>
            </w:r>
            <w:proofErr w:type="spellStart"/>
            <w:r w:rsidRPr="00E036A0">
              <w:rPr>
                <w:rFonts w:cs="Calibri"/>
                <w:color w:val="000000"/>
              </w:rPr>
              <w:t>setting</w:t>
            </w:r>
            <w:proofErr w:type="spellEnd"/>
            <w:r w:rsidRPr="00E036A0">
              <w:rPr>
                <w:rFonts w:cs="Calibri"/>
                <w:color w:val="000000"/>
              </w:rPr>
              <w:t xml:space="preserve"> del ricovero diurno di tipo diagnostica</w:t>
            </w:r>
          </w:p>
        </w:tc>
        <w:tc>
          <w:tcPr>
            <w:tcW w:w="3753" w:type="dxa"/>
            <w:shd w:val="clear" w:color="auto" w:fill="D9D9D9" w:themeFill="background1" w:themeFillShade="D9"/>
          </w:tcPr>
          <w:p w:rsidR="008A29F1" w:rsidRPr="00E036A0" w:rsidRDefault="008A29F1" w:rsidP="000D30D1">
            <w:r w:rsidRPr="00E036A0">
              <w:rPr>
                <w:rFonts w:cs="Calibri"/>
                <w:color w:val="000000"/>
              </w:rPr>
              <w:t>Riduzione del 10% rispetto al valore 1.7.2014-31.12.2014 del tasso di ricovero diurno di tipo diagnostico. Il tasso non deve comunque essere superiore al 50%.</w:t>
            </w:r>
          </w:p>
        </w:tc>
        <w:tc>
          <w:tcPr>
            <w:tcW w:w="3096" w:type="dxa"/>
            <w:shd w:val="clear" w:color="auto" w:fill="D9D9D9" w:themeFill="background1" w:themeFillShade="D9"/>
          </w:tcPr>
          <w:p w:rsidR="008A29F1" w:rsidRPr="00E036A0" w:rsidRDefault="008A29F1" w:rsidP="000D30D1">
            <w:r w:rsidRPr="00E036A0">
              <w:rPr>
                <w:rFonts w:cs="Calibri"/>
                <w:color w:val="000000"/>
              </w:rPr>
              <w:t>- riduzione &gt;=10% e tasso inferiore al 50%: obiettivo raggiunto</w:t>
            </w:r>
            <w:r w:rsidRPr="00E036A0">
              <w:rPr>
                <w:rFonts w:cs="Calibri"/>
                <w:color w:val="000000"/>
              </w:rPr>
              <w:br/>
              <w:t>- riduzione &gt;=10% e tasso superiore al 50%: obiettivo non raggiunto</w:t>
            </w:r>
            <w:r w:rsidRPr="00E036A0">
              <w:rPr>
                <w:rFonts w:cs="Calibri"/>
                <w:color w:val="000000"/>
              </w:rPr>
              <w:br/>
              <w:t>- riduzione &lt;10% e tasso inferiore al 50%: obiettivo raggiunto al 50%</w:t>
            </w:r>
            <w:r w:rsidRPr="00E036A0">
              <w:rPr>
                <w:rFonts w:cs="Calibri"/>
                <w:color w:val="000000"/>
              </w:rPr>
              <w:br/>
              <w:t>- riduzione &lt;10% e tasso superiore al 50%: obiettivo non raggiunto</w:t>
            </w:r>
            <w:r w:rsidRPr="00E036A0">
              <w:rPr>
                <w:rFonts w:cs="Calibri"/>
                <w:color w:val="000000"/>
              </w:rPr>
              <w:br/>
            </w:r>
            <w:r w:rsidRPr="00E036A0">
              <w:rPr>
                <w:rFonts w:cs="Calibri"/>
                <w:color w:val="000000"/>
              </w:rPr>
              <w:lastRenderedPageBreak/>
              <w:br/>
              <w:t>Dato calcolato su:</w:t>
            </w:r>
            <w:r w:rsidRPr="00E036A0">
              <w:rPr>
                <w:rFonts w:cs="Calibri"/>
                <w:color w:val="000000"/>
              </w:rPr>
              <w:br/>
              <w:t>- periodo 1 gennaio 2015 - 31 dicembre 2015</w:t>
            </w:r>
          </w:p>
        </w:tc>
        <w:tc>
          <w:tcPr>
            <w:tcW w:w="1196" w:type="dxa"/>
            <w:shd w:val="clear" w:color="auto" w:fill="D9D9D9" w:themeFill="background1" w:themeFillShade="D9"/>
          </w:tcPr>
          <w:p w:rsidR="008A29F1" w:rsidRPr="00E036A0" w:rsidRDefault="008A29F1" w:rsidP="000D30D1">
            <w:pPr>
              <w:jc w:val="center"/>
            </w:pPr>
          </w:p>
          <w:p w:rsidR="008A29F1" w:rsidRPr="00E036A0" w:rsidRDefault="008A29F1" w:rsidP="000D30D1">
            <w:pPr>
              <w:jc w:val="center"/>
            </w:pPr>
            <w:r w:rsidRPr="00E036A0">
              <w:t>1</w:t>
            </w:r>
            <w:r>
              <w:t>0</w:t>
            </w:r>
            <w:r w:rsidRPr="00E036A0">
              <w:t>%</w:t>
            </w:r>
          </w:p>
          <w:p w:rsidR="008A29F1" w:rsidRPr="00E036A0" w:rsidRDefault="008A29F1" w:rsidP="000D30D1">
            <w:pPr>
              <w:jc w:val="center"/>
            </w:pPr>
          </w:p>
        </w:tc>
      </w:tr>
      <w:tr w:rsidR="008A29F1" w:rsidRPr="00E036A0" w:rsidTr="000D30D1">
        <w:trPr>
          <w:tblHeader/>
        </w:trPr>
        <w:tc>
          <w:tcPr>
            <w:tcW w:w="9854" w:type="dxa"/>
            <w:gridSpan w:val="4"/>
          </w:tcPr>
          <w:p w:rsidR="008A29F1" w:rsidRPr="00E036A0" w:rsidRDefault="008A29F1" w:rsidP="000D30D1">
            <w:pPr>
              <w:jc w:val="center"/>
              <w:rPr>
                <w:b/>
              </w:rPr>
            </w:pPr>
            <w:r w:rsidRPr="00E036A0">
              <w:rPr>
                <w:b/>
              </w:rPr>
              <w:lastRenderedPageBreak/>
              <w:t>risultato ottenuto al 31.12.2015</w:t>
            </w:r>
          </w:p>
        </w:tc>
      </w:tr>
      <w:tr w:rsidR="008A29F1" w:rsidRPr="00E036A0" w:rsidTr="000D30D1">
        <w:trPr>
          <w:trHeight w:val="434"/>
        </w:trPr>
        <w:tc>
          <w:tcPr>
            <w:tcW w:w="9854" w:type="dxa"/>
            <w:gridSpan w:val="4"/>
          </w:tcPr>
          <w:p w:rsidR="008A29F1" w:rsidRPr="00E036A0" w:rsidRDefault="008A29F1" w:rsidP="000D30D1">
            <w:pPr>
              <w:jc w:val="both"/>
            </w:pPr>
            <w:r w:rsidRPr="00E036A0">
              <w:t>ANNO 2014 (luglio-dicembre): 0,86%</w:t>
            </w:r>
          </w:p>
          <w:p w:rsidR="008A29F1" w:rsidRPr="00E036A0" w:rsidRDefault="008A29F1" w:rsidP="000D30D1">
            <w:pPr>
              <w:jc w:val="both"/>
            </w:pPr>
            <w:r w:rsidRPr="00E036A0">
              <w:t>ANNO 2015 (gennaio-dicembre): 0,35%</w:t>
            </w:r>
          </w:p>
          <w:p w:rsidR="008A29F1" w:rsidRPr="00E036A0" w:rsidRDefault="008A29F1" w:rsidP="000D30D1">
            <w:pPr>
              <w:jc w:val="both"/>
            </w:pPr>
            <w:r w:rsidRPr="00E036A0">
              <w:t xml:space="preserve">Riduzione percentuale: </w:t>
            </w:r>
            <w:r w:rsidRPr="00E036A0">
              <w:rPr>
                <w:rFonts w:ascii="DecimaWE Rg" w:hAnsi="DecimaWE Rg" w:cs="Calibri"/>
                <w:color w:val="000000"/>
              </w:rPr>
              <w:t>59,15%</w:t>
            </w:r>
          </w:p>
        </w:tc>
      </w:tr>
      <w:tr w:rsidR="008A29F1" w:rsidRPr="00E036A0" w:rsidTr="000D30D1">
        <w:trPr>
          <w:tblHeader/>
        </w:trPr>
        <w:tc>
          <w:tcPr>
            <w:tcW w:w="1809" w:type="dxa"/>
            <w:tcBorders>
              <w:bottom w:val="single" w:sz="4" w:space="0" w:color="auto"/>
            </w:tcBorders>
          </w:tcPr>
          <w:p w:rsidR="008A29F1" w:rsidRPr="00E036A0" w:rsidRDefault="008A29F1" w:rsidP="000D30D1">
            <w:pPr>
              <w:jc w:val="center"/>
              <w:rPr>
                <w:b/>
              </w:rPr>
            </w:pPr>
            <w:r w:rsidRPr="00E036A0">
              <w:rPr>
                <w:b/>
              </w:rPr>
              <w:t>obiettivo aziendale</w:t>
            </w:r>
          </w:p>
        </w:tc>
        <w:tc>
          <w:tcPr>
            <w:tcW w:w="3753" w:type="dxa"/>
            <w:tcBorders>
              <w:bottom w:val="single" w:sz="4" w:space="0" w:color="auto"/>
            </w:tcBorders>
          </w:tcPr>
          <w:p w:rsidR="008A29F1" w:rsidRPr="00E036A0" w:rsidRDefault="008A29F1" w:rsidP="000D30D1">
            <w:pPr>
              <w:jc w:val="center"/>
              <w:rPr>
                <w:b/>
              </w:rPr>
            </w:pPr>
            <w:r w:rsidRPr="00E036A0">
              <w:rPr>
                <w:b/>
              </w:rPr>
              <w:t>risultato atteso</w:t>
            </w:r>
          </w:p>
        </w:tc>
        <w:tc>
          <w:tcPr>
            <w:tcW w:w="3096" w:type="dxa"/>
            <w:tcBorders>
              <w:bottom w:val="single" w:sz="4" w:space="0" w:color="auto"/>
            </w:tcBorders>
          </w:tcPr>
          <w:p w:rsidR="008A29F1" w:rsidRPr="00E036A0" w:rsidRDefault="008A29F1" w:rsidP="000D30D1">
            <w:pPr>
              <w:jc w:val="center"/>
              <w:rPr>
                <w:b/>
              </w:rPr>
            </w:pPr>
            <w:r w:rsidRPr="00E036A0">
              <w:rPr>
                <w:b/>
              </w:rPr>
              <w:t>Modalità di valutazione</w:t>
            </w:r>
          </w:p>
        </w:tc>
        <w:tc>
          <w:tcPr>
            <w:tcW w:w="1196" w:type="dxa"/>
            <w:tcBorders>
              <w:bottom w:val="single" w:sz="4" w:space="0" w:color="auto"/>
            </w:tcBorders>
          </w:tcPr>
          <w:p w:rsidR="008A29F1" w:rsidRPr="00E036A0" w:rsidRDefault="008A29F1" w:rsidP="000D30D1">
            <w:pPr>
              <w:jc w:val="center"/>
              <w:rPr>
                <w:b/>
              </w:rPr>
            </w:pPr>
            <w:r w:rsidRPr="00E036A0">
              <w:rPr>
                <w:b/>
              </w:rPr>
              <w:t>punteggio</w:t>
            </w:r>
          </w:p>
        </w:tc>
      </w:tr>
      <w:tr w:rsidR="008A29F1" w:rsidRPr="00E036A0" w:rsidTr="000D30D1">
        <w:trPr>
          <w:trHeight w:val="434"/>
        </w:trPr>
        <w:tc>
          <w:tcPr>
            <w:tcW w:w="1809" w:type="dxa"/>
            <w:shd w:val="clear" w:color="auto" w:fill="D9D9D9" w:themeFill="background1" w:themeFillShade="D9"/>
          </w:tcPr>
          <w:p w:rsidR="008A29F1" w:rsidRPr="00E036A0" w:rsidRDefault="008A29F1" w:rsidP="000D30D1">
            <w:pPr>
              <w:autoSpaceDE w:val="0"/>
              <w:autoSpaceDN w:val="0"/>
              <w:adjustRightInd w:val="0"/>
              <w:jc w:val="both"/>
            </w:pPr>
            <w:r w:rsidRPr="00E036A0">
              <w:rPr>
                <w:rFonts w:cs="Calibri"/>
                <w:color w:val="000000"/>
              </w:rPr>
              <w:t xml:space="preserve">Appropriatezza del </w:t>
            </w:r>
            <w:proofErr w:type="spellStart"/>
            <w:r w:rsidRPr="00E036A0">
              <w:rPr>
                <w:rFonts w:cs="Calibri"/>
                <w:color w:val="000000"/>
              </w:rPr>
              <w:t>setting</w:t>
            </w:r>
            <w:proofErr w:type="spellEnd"/>
            <w:r w:rsidRPr="00E036A0">
              <w:rPr>
                <w:rFonts w:cs="Calibri"/>
                <w:color w:val="000000"/>
              </w:rPr>
              <w:t xml:space="preserve"> del ricovero diurno di tipo diagnostica</w:t>
            </w:r>
          </w:p>
        </w:tc>
        <w:tc>
          <w:tcPr>
            <w:tcW w:w="3753" w:type="dxa"/>
            <w:shd w:val="clear" w:color="auto" w:fill="D9D9D9" w:themeFill="background1" w:themeFillShade="D9"/>
          </w:tcPr>
          <w:p w:rsidR="008A29F1" w:rsidRPr="00E036A0" w:rsidRDefault="008A29F1" w:rsidP="000D30D1">
            <w:r w:rsidRPr="00E036A0">
              <w:rPr>
                <w:rFonts w:cs="Calibri"/>
                <w:color w:val="000000"/>
              </w:rPr>
              <w:t xml:space="preserve">Attivazione dell'ambulatorio integrato in alternativa al </w:t>
            </w:r>
            <w:proofErr w:type="spellStart"/>
            <w:r w:rsidRPr="00E036A0">
              <w:rPr>
                <w:rFonts w:cs="Calibri"/>
                <w:color w:val="000000"/>
              </w:rPr>
              <w:t>setting</w:t>
            </w:r>
            <w:proofErr w:type="spellEnd"/>
            <w:r w:rsidRPr="00E036A0">
              <w:rPr>
                <w:rFonts w:cs="Calibri"/>
                <w:color w:val="000000"/>
              </w:rPr>
              <w:t xml:space="preserve"> del </w:t>
            </w:r>
            <w:proofErr w:type="spellStart"/>
            <w:r w:rsidRPr="00E036A0">
              <w:rPr>
                <w:rFonts w:cs="Calibri"/>
                <w:color w:val="000000"/>
              </w:rPr>
              <w:t>day</w:t>
            </w:r>
            <w:proofErr w:type="spellEnd"/>
            <w:r w:rsidRPr="00E036A0">
              <w:rPr>
                <w:rFonts w:cs="Calibri"/>
                <w:color w:val="000000"/>
              </w:rPr>
              <w:t xml:space="preserve"> hospital</w:t>
            </w:r>
          </w:p>
        </w:tc>
        <w:tc>
          <w:tcPr>
            <w:tcW w:w="3096" w:type="dxa"/>
            <w:shd w:val="clear" w:color="auto" w:fill="D9D9D9" w:themeFill="background1" w:themeFillShade="D9"/>
          </w:tcPr>
          <w:p w:rsidR="008A29F1" w:rsidRPr="00E036A0" w:rsidRDefault="008A29F1" w:rsidP="000D30D1">
            <w:r w:rsidRPr="00E036A0">
              <w:rPr>
                <w:rFonts w:cs="Calibri"/>
                <w:color w:val="000000"/>
              </w:rPr>
              <w:t>L'obiettivo si intende raggiunto se entro il 31/12/2015 sono individuati, e sottoposti all'approvazione regionale, 5 percorsi assistenziali per i quali attivare l'ambulatorio integrato</w:t>
            </w:r>
          </w:p>
        </w:tc>
        <w:tc>
          <w:tcPr>
            <w:tcW w:w="1196" w:type="dxa"/>
            <w:shd w:val="clear" w:color="auto" w:fill="D9D9D9" w:themeFill="background1" w:themeFillShade="D9"/>
          </w:tcPr>
          <w:p w:rsidR="008A29F1" w:rsidRPr="00E036A0" w:rsidRDefault="008A29F1" w:rsidP="000D30D1">
            <w:pPr>
              <w:jc w:val="center"/>
            </w:pPr>
          </w:p>
          <w:p w:rsidR="008A29F1" w:rsidRPr="00E036A0" w:rsidRDefault="008A29F1" w:rsidP="000D30D1">
            <w:pPr>
              <w:jc w:val="center"/>
            </w:pPr>
            <w:r w:rsidRPr="00E036A0">
              <w:t>10%</w:t>
            </w:r>
          </w:p>
          <w:p w:rsidR="008A29F1" w:rsidRPr="00E036A0" w:rsidRDefault="008A29F1" w:rsidP="000D30D1">
            <w:pPr>
              <w:jc w:val="center"/>
            </w:pPr>
          </w:p>
        </w:tc>
      </w:tr>
      <w:tr w:rsidR="008A29F1" w:rsidRPr="00E036A0" w:rsidTr="000D30D1">
        <w:trPr>
          <w:tblHeader/>
        </w:trPr>
        <w:tc>
          <w:tcPr>
            <w:tcW w:w="9854" w:type="dxa"/>
            <w:gridSpan w:val="4"/>
          </w:tcPr>
          <w:p w:rsidR="008A29F1" w:rsidRPr="00E036A0" w:rsidRDefault="008A29F1" w:rsidP="000D30D1">
            <w:pPr>
              <w:jc w:val="center"/>
              <w:rPr>
                <w:b/>
              </w:rPr>
            </w:pPr>
            <w:r w:rsidRPr="00E036A0">
              <w:rPr>
                <w:b/>
              </w:rPr>
              <w:t>risultato ottenuto al 31.12.2015</w:t>
            </w:r>
          </w:p>
        </w:tc>
      </w:tr>
      <w:tr w:rsidR="008A29F1" w:rsidRPr="00E036A0" w:rsidTr="000D30D1">
        <w:trPr>
          <w:trHeight w:val="434"/>
        </w:trPr>
        <w:tc>
          <w:tcPr>
            <w:tcW w:w="9854" w:type="dxa"/>
            <w:gridSpan w:val="4"/>
          </w:tcPr>
          <w:p w:rsidR="008A29F1" w:rsidRDefault="008A29F1" w:rsidP="000D30D1">
            <w:pPr>
              <w:jc w:val="both"/>
            </w:pPr>
            <w:r>
              <w:t>Sono stati elaborati e sono attualmente operativi i percorsi multidisciplinari relativi a:</w:t>
            </w:r>
          </w:p>
          <w:p w:rsidR="008A29F1" w:rsidRDefault="008A29F1" w:rsidP="008A29F1">
            <w:pPr>
              <w:pStyle w:val="Paragrafoelenco"/>
              <w:numPr>
                <w:ilvl w:val="0"/>
                <w:numId w:val="32"/>
              </w:numPr>
              <w:jc w:val="both"/>
            </w:pPr>
            <w:r>
              <w:t>Pazienti con tumore al seno</w:t>
            </w:r>
          </w:p>
          <w:p w:rsidR="008A29F1" w:rsidRDefault="008A29F1" w:rsidP="008A29F1">
            <w:pPr>
              <w:pStyle w:val="Paragrafoelenco"/>
              <w:numPr>
                <w:ilvl w:val="0"/>
                <w:numId w:val="32"/>
              </w:numPr>
              <w:jc w:val="both"/>
            </w:pPr>
            <w:r>
              <w:t>Pazienti con tumore dello stomaco</w:t>
            </w:r>
          </w:p>
          <w:p w:rsidR="008A29F1" w:rsidRDefault="008A29F1" w:rsidP="008A29F1">
            <w:pPr>
              <w:pStyle w:val="Paragrafoelenco"/>
              <w:numPr>
                <w:ilvl w:val="0"/>
                <w:numId w:val="32"/>
              </w:numPr>
              <w:jc w:val="both"/>
            </w:pPr>
            <w:r>
              <w:t>Pazienti con tumori testa-collo</w:t>
            </w:r>
          </w:p>
          <w:p w:rsidR="008A29F1" w:rsidRDefault="008A29F1" w:rsidP="008A29F1">
            <w:pPr>
              <w:pStyle w:val="Paragrafoelenco"/>
              <w:numPr>
                <w:ilvl w:val="0"/>
                <w:numId w:val="32"/>
              </w:numPr>
              <w:jc w:val="both"/>
            </w:pPr>
            <w:r>
              <w:t>Pazienti con tumori del colon retto</w:t>
            </w:r>
          </w:p>
          <w:p w:rsidR="008A29F1" w:rsidRDefault="008A29F1" w:rsidP="008A29F1">
            <w:pPr>
              <w:pStyle w:val="Paragrafoelenco"/>
              <w:numPr>
                <w:ilvl w:val="0"/>
                <w:numId w:val="32"/>
              </w:numPr>
              <w:jc w:val="both"/>
            </w:pPr>
            <w:r>
              <w:t>Pazienti con sarcomi</w:t>
            </w:r>
          </w:p>
          <w:p w:rsidR="008A29F1" w:rsidRDefault="008A29F1" w:rsidP="008A29F1">
            <w:pPr>
              <w:pStyle w:val="Paragrafoelenco"/>
              <w:numPr>
                <w:ilvl w:val="0"/>
                <w:numId w:val="32"/>
              </w:numPr>
              <w:jc w:val="both"/>
            </w:pPr>
            <w:r>
              <w:t>Pazienti con melanoma</w:t>
            </w:r>
          </w:p>
          <w:p w:rsidR="008A29F1" w:rsidRDefault="008A29F1" w:rsidP="008A29F1">
            <w:pPr>
              <w:pStyle w:val="Paragrafoelenco"/>
              <w:numPr>
                <w:ilvl w:val="0"/>
                <w:numId w:val="32"/>
              </w:numPr>
              <w:jc w:val="both"/>
            </w:pPr>
            <w:r>
              <w:t>Pazienti con tumori dell’ovaio.</w:t>
            </w:r>
          </w:p>
          <w:p w:rsidR="008A29F1" w:rsidRPr="008D72E1" w:rsidRDefault="008A29F1" w:rsidP="000D30D1">
            <w:pPr>
              <w:jc w:val="both"/>
            </w:pPr>
            <w:r>
              <w:t>Questi percorsi sono stati oggetto di negoziazione nelle schede di budget 2015 approvate con delibera n. 103 del 21.04.2015 avente per oggetto “approvazione budget 2015”. L’evidenza di quanto sopra sarà oggetto di imminente invio in Regione.</w:t>
            </w:r>
          </w:p>
        </w:tc>
      </w:tr>
    </w:tbl>
    <w:p w:rsidR="008A29F1" w:rsidRDefault="008A29F1" w:rsidP="008A29F1">
      <w:pPr>
        <w:tabs>
          <w:tab w:val="left" w:pos="2808"/>
          <w:tab w:val="left" w:pos="6354"/>
          <w:tab w:val="left" w:pos="7530"/>
        </w:tabs>
        <w:rPr>
          <w:b/>
        </w:rPr>
      </w:pPr>
    </w:p>
    <w:p w:rsidR="008A29F1" w:rsidRPr="008E70B1" w:rsidRDefault="008A29F1" w:rsidP="008A29F1">
      <w:pPr>
        <w:pStyle w:val="Paragrafoelenco"/>
        <w:numPr>
          <w:ilvl w:val="0"/>
          <w:numId w:val="10"/>
        </w:numPr>
        <w:tabs>
          <w:tab w:val="left" w:pos="2808"/>
          <w:tab w:val="left" w:pos="6354"/>
          <w:tab w:val="left" w:pos="7530"/>
        </w:tabs>
        <w:spacing w:after="0" w:line="240" w:lineRule="auto"/>
        <w:ind w:left="180" w:hanging="270"/>
        <w:rPr>
          <w:b/>
        </w:rPr>
      </w:pPr>
      <w:r w:rsidRPr="00E05DF1">
        <w:rPr>
          <w:b/>
        </w:rPr>
        <w:t>Prevenzione</w:t>
      </w:r>
    </w:p>
    <w:tbl>
      <w:tblPr>
        <w:tblStyle w:val="Grigliatabella"/>
        <w:tblW w:w="0" w:type="auto"/>
        <w:tblLook w:val="01E0"/>
      </w:tblPr>
      <w:tblGrid>
        <w:gridCol w:w="1809"/>
        <w:gridCol w:w="3753"/>
        <w:gridCol w:w="3096"/>
        <w:gridCol w:w="1196"/>
      </w:tblGrid>
      <w:tr w:rsidR="008A29F1" w:rsidRPr="00E036A0" w:rsidTr="000D30D1">
        <w:trPr>
          <w:tblHeader/>
        </w:trPr>
        <w:tc>
          <w:tcPr>
            <w:tcW w:w="1809" w:type="dxa"/>
            <w:tcBorders>
              <w:bottom w:val="single" w:sz="4" w:space="0" w:color="auto"/>
            </w:tcBorders>
          </w:tcPr>
          <w:p w:rsidR="008A29F1" w:rsidRPr="00E036A0" w:rsidRDefault="008A29F1" w:rsidP="000D30D1">
            <w:pPr>
              <w:jc w:val="center"/>
              <w:rPr>
                <w:b/>
              </w:rPr>
            </w:pPr>
            <w:r w:rsidRPr="00E036A0">
              <w:rPr>
                <w:b/>
              </w:rPr>
              <w:t>obiettivo aziendale</w:t>
            </w:r>
          </w:p>
        </w:tc>
        <w:tc>
          <w:tcPr>
            <w:tcW w:w="3753" w:type="dxa"/>
            <w:tcBorders>
              <w:bottom w:val="single" w:sz="4" w:space="0" w:color="auto"/>
            </w:tcBorders>
          </w:tcPr>
          <w:p w:rsidR="008A29F1" w:rsidRPr="00E036A0" w:rsidRDefault="008A29F1" w:rsidP="000D30D1">
            <w:pPr>
              <w:jc w:val="center"/>
              <w:rPr>
                <w:b/>
              </w:rPr>
            </w:pPr>
            <w:r w:rsidRPr="00E036A0">
              <w:rPr>
                <w:b/>
              </w:rPr>
              <w:t>risultato atteso</w:t>
            </w:r>
          </w:p>
        </w:tc>
        <w:tc>
          <w:tcPr>
            <w:tcW w:w="3096" w:type="dxa"/>
            <w:tcBorders>
              <w:bottom w:val="single" w:sz="4" w:space="0" w:color="auto"/>
            </w:tcBorders>
          </w:tcPr>
          <w:p w:rsidR="008A29F1" w:rsidRPr="00E036A0" w:rsidRDefault="008A29F1" w:rsidP="000D30D1">
            <w:pPr>
              <w:jc w:val="center"/>
              <w:rPr>
                <w:b/>
              </w:rPr>
            </w:pPr>
            <w:r w:rsidRPr="00E036A0">
              <w:rPr>
                <w:b/>
              </w:rPr>
              <w:t>Modalità di valutazione</w:t>
            </w:r>
          </w:p>
        </w:tc>
        <w:tc>
          <w:tcPr>
            <w:tcW w:w="1196" w:type="dxa"/>
            <w:tcBorders>
              <w:bottom w:val="single" w:sz="4" w:space="0" w:color="auto"/>
            </w:tcBorders>
          </w:tcPr>
          <w:p w:rsidR="008A29F1" w:rsidRPr="00E036A0" w:rsidRDefault="008A29F1" w:rsidP="000D30D1">
            <w:pPr>
              <w:jc w:val="center"/>
              <w:rPr>
                <w:b/>
              </w:rPr>
            </w:pPr>
            <w:r w:rsidRPr="00E036A0">
              <w:rPr>
                <w:b/>
              </w:rPr>
              <w:t>punteggio</w:t>
            </w:r>
          </w:p>
        </w:tc>
      </w:tr>
      <w:tr w:rsidR="008A29F1" w:rsidRPr="00E036A0" w:rsidTr="000D30D1">
        <w:trPr>
          <w:trHeight w:val="434"/>
        </w:trPr>
        <w:tc>
          <w:tcPr>
            <w:tcW w:w="1809" w:type="dxa"/>
            <w:shd w:val="clear" w:color="auto" w:fill="D9D9D9" w:themeFill="background1" w:themeFillShade="D9"/>
          </w:tcPr>
          <w:p w:rsidR="008A29F1" w:rsidRPr="00E036A0" w:rsidRDefault="008A29F1" w:rsidP="000D30D1">
            <w:pPr>
              <w:autoSpaceDE w:val="0"/>
              <w:autoSpaceDN w:val="0"/>
              <w:adjustRightInd w:val="0"/>
              <w:jc w:val="both"/>
            </w:pPr>
            <w:r w:rsidRPr="00E036A0">
              <w:rPr>
                <w:rFonts w:cs="Calibri"/>
                <w:color w:val="000000"/>
              </w:rPr>
              <w:t>Campagna vaccinale</w:t>
            </w:r>
          </w:p>
        </w:tc>
        <w:tc>
          <w:tcPr>
            <w:tcW w:w="3753" w:type="dxa"/>
            <w:shd w:val="clear" w:color="auto" w:fill="D9D9D9" w:themeFill="background1" w:themeFillShade="D9"/>
          </w:tcPr>
          <w:p w:rsidR="008A29F1" w:rsidRPr="00E036A0" w:rsidRDefault="008A29F1" w:rsidP="000D30D1">
            <w:r w:rsidRPr="00E036A0">
              <w:rPr>
                <w:rFonts w:cs="Calibri"/>
                <w:color w:val="000000"/>
              </w:rPr>
              <w:t>Incremento del 20%, rispetto al valore della campagna 2014-2015, della copertura della vaccinazione antinfluenzale negli operatori sanitari. Il tasso non deve comunque essere inferiore al 35%</w:t>
            </w:r>
          </w:p>
        </w:tc>
        <w:tc>
          <w:tcPr>
            <w:tcW w:w="3096" w:type="dxa"/>
            <w:shd w:val="clear" w:color="auto" w:fill="D9D9D9" w:themeFill="background1" w:themeFillShade="D9"/>
          </w:tcPr>
          <w:p w:rsidR="008A29F1" w:rsidRPr="00E036A0" w:rsidRDefault="008A29F1" w:rsidP="000D30D1">
            <w:pPr>
              <w:jc w:val="both"/>
              <w:rPr>
                <w:rFonts w:cs="Calibri"/>
                <w:color w:val="000000"/>
              </w:rPr>
            </w:pPr>
            <w:r w:rsidRPr="00E036A0">
              <w:rPr>
                <w:rFonts w:cs="Calibri"/>
                <w:color w:val="000000"/>
              </w:rPr>
              <w:t>- incremento &gt;= 20% e tasso superiore al 35%: obiettivo raggiunto</w:t>
            </w:r>
            <w:r w:rsidRPr="00E036A0">
              <w:rPr>
                <w:rFonts w:cs="Calibri"/>
                <w:color w:val="000000"/>
              </w:rPr>
              <w:br/>
              <w:t>- incremento &gt;= 20% e tasso inferiore al 35%: obiettivo non raggiunto</w:t>
            </w:r>
            <w:r w:rsidRPr="00E036A0">
              <w:rPr>
                <w:rFonts w:cs="Calibri"/>
                <w:color w:val="000000"/>
              </w:rPr>
              <w:br/>
              <w:t>- incremento &lt; 20% e tasso superiore al 35%: obiettivo raggiunto al 50%</w:t>
            </w:r>
          </w:p>
          <w:p w:rsidR="008A29F1" w:rsidRPr="00E036A0" w:rsidRDefault="008A29F1" w:rsidP="000D30D1">
            <w:pPr>
              <w:jc w:val="both"/>
              <w:rPr>
                <w:rFonts w:cs="Calibri"/>
                <w:color w:val="000000"/>
              </w:rPr>
            </w:pPr>
            <w:r w:rsidRPr="00E036A0">
              <w:rPr>
                <w:rFonts w:cs="Calibri"/>
                <w:color w:val="000000"/>
              </w:rPr>
              <w:t>- incremento &lt; 20% e tasso inferiore al 35%: obiettivo non raggiunto</w:t>
            </w:r>
            <w:r w:rsidRPr="00E036A0">
              <w:rPr>
                <w:rFonts w:cs="Calibri"/>
                <w:color w:val="000000"/>
              </w:rPr>
              <w:br/>
            </w:r>
            <w:r w:rsidRPr="00E036A0">
              <w:rPr>
                <w:rFonts w:cs="Calibri"/>
                <w:color w:val="000000"/>
              </w:rPr>
              <w:br/>
              <w:t>Dato calcolato su:</w:t>
            </w:r>
          </w:p>
          <w:p w:rsidR="008A29F1" w:rsidRPr="00E036A0" w:rsidRDefault="008A29F1" w:rsidP="000D30D1">
            <w:r w:rsidRPr="00E036A0">
              <w:rPr>
                <w:rFonts w:cs="Calibri"/>
                <w:color w:val="000000"/>
              </w:rPr>
              <w:t>-campagna vaccinale 2014-2015</w:t>
            </w:r>
          </w:p>
        </w:tc>
        <w:tc>
          <w:tcPr>
            <w:tcW w:w="1196" w:type="dxa"/>
            <w:shd w:val="clear" w:color="auto" w:fill="D9D9D9" w:themeFill="background1" w:themeFillShade="D9"/>
          </w:tcPr>
          <w:p w:rsidR="008A29F1" w:rsidRPr="00E036A0" w:rsidRDefault="008A29F1" w:rsidP="000D30D1">
            <w:pPr>
              <w:jc w:val="center"/>
            </w:pPr>
          </w:p>
          <w:p w:rsidR="008A29F1" w:rsidRPr="00E036A0" w:rsidRDefault="008A29F1" w:rsidP="000D30D1">
            <w:pPr>
              <w:jc w:val="center"/>
            </w:pPr>
            <w:r w:rsidRPr="00E036A0">
              <w:t>8%</w:t>
            </w:r>
          </w:p>
          <w:p w:rsidR="008A29F1" w:rsidRPr="00E036A0" w:rsidRDefault="008A29F1" w:rsidP="000D30D1">
            <w:pPr>
              <w:jc w:val="center"/>
            </w:pPr>
          </w:p>
        </w:tc>
      </w:tr>
      <w:tr w:rsidR="008A29F1" w:rsidRPr="00E036A0" w:rsidTr="000D30D1">
        <w:trPr>
          <w:tblHeader/>
        </w:trPr>
        <w:tc>
          <w:tcPr>
            <w:tcW w:w="9854" w:type="dxa"/>
            <w:gridSpan w:val="4"/>
          </w:tcPr>
          <w:p w:rsidR="008A29F1" w:rsidRPr="00E036A0" w:rsidRDefault="008A29F1" w:rsidP="000D30D1">
            <w:pPr>
              <w:jc w:val="center"/>
              <w:rPr>
                <w:b/>
              </w:rPr>
            </w:pPr>
            <w:r w:rsidRPr="00E036A0">
              <w:rPr>
                <w:b/>
              </w:rPr>
              <w:t>risultato ottenuto al 31.12.2015</w:t>
            </w:r>
          </w:p>
        </w:tc>
      </w:tr>
      <w:tr w:rsidR="008A29F1" w:rsidRPr="00E036A0" w:rsidTr="000D30D1">
        <w:trPr>
          <w:trHeight w:val="434"/>
        </w:trPr>
        <w:tc>
          <w:tcPr>
            <w:tcW w:w="9854" w:type="dxa"/>
            <w:gridSpan w:val="4"/>
          </w:tcPr>
          <w:p w:rsidR="008A29F1" w:rsidRDefault="008A29F1" w:rsidP="000D30D1">
            <w:pPr>
              <w:jc w:val="both"/>
            </w:pPr>
            <w:r>
              <w:lastRenderedPageBreak/>
              <w:t>Percentuale di adesione anno 2014: 8,6%</w:t>
            </w:r>
          </w:p>
          <w:p w:rsidR="008A29F1" w:rsidRDefault="008A29F1" w:rsidP="000D30D1">
            <w:pPr>
              <w:jc w:val="both"/>
            </w:pPr>
            <w:r>
              <w:t>Percentuale di adesione anno 2015</w:t>
            </w:r>
            <w:r w:rsidRPr="00E036A0">
              <w:t>: 16%</w:t>
            </w:r>
          </w:p>
          <w:p w:rsidR="008A29F1" w:rsidRPr="00E036A0" w:rsidRDefault="008A29F1" w:rsidP="000D30D1">
            <w:pPr>
              <w:jc w:val="both"/>
            </w:pPr>
            <w:r>
              <w:t>Incremento: 86,05%</w:t>
            </w:r>
          </w:p>
        </w:tc>
      </w:tr>
    </w:tbl>
    <w:p w:rsidR="008A29F1" w:rsidRDefault="008A29F1" w:rsidP="008A29F1">
      <w:pPr>
        <w:tabs>
          <w:tab w:val="left" w:pos="2808"/>
          <w:tab w:val="left" w:pos="6354"/>
          <w:tab w:val="left" w:pos="7530"/>
        </w:tabs>
        <w:rPr>
          <w:b/>
        </w:rPr>
      </w:pPr>
    </w:p>
    <w:p w:rsidR="008A29F1" w:rsidRPr="008E70B1" w:rsidRDefault="008A29F1" w:rsidP="008A29F1">
      <w:pPr>
        <w:pStyle w:val="Paragrafoelenco"/>
        <w:numPr>
          <w:ilvl w:val="0"/>
          <w:numId w:val="10"/>
        </w:numPr>
        <w:tabs>
          <w:tab w:val="left" w:pos="2808"/>
          <w:tab w:val="left" w:pos="6354"/>
          <w:tab w:val="left" w:pos="7530"/>
        </w:tabs>
        <w:spacing w:after="0" w:line="240" w:lineRule="auto"/>
        <w:ind w:left="180" w:hanging="270"/>
        <w:rPr>
          <w:b/>
        </w:rPr>
      </w:pPr>
      <w:r w:rsidRPr="00E05DF1">
        <w:rPr>
          <w:b/>
        </w:rPr>
        <w:t>Sistemi informativi</w:t>
      </w:r>
    </w:p>
    <w:tbl>
      <w:tblPr>
        <w:tblStyle w:val="Grigliatabella"/>
        <w:tblW w:w="0" w:type="auto"/>
        <w:tblLook w:val="01E0"/>
      </w:tblPr>
      <w:tblGrid>
        <w:gridCol w:w="1905"/>
        <w:gridCol w:w="3693"/>
        <w:gridCol w:w="3093"/>
        <w:gridCol w:w="1163"/>
      </w:tblGrid>
      <w:tr w:rsidR="008A29F1" w:rsidRPr="00E036A0" w:rsidTr="000D30D1">
        <w:trPr>
          <w:tblHeader/>
        </w:trPr>
        <w:tc>
          <w:tcPr>
            <w:tcW w:w="1905" w:type="dxa"/>
            <w:tcBorders>
              <w:bottom w:val="single" w:sz="4" w:space="0" w:color="auto"/>
            </w:tcBorders>
          </w:tcPr>
          <w:p w:rsidR="008A29F1" w:rsidRPr="00E036A0" w:rsidRDefault="008A29F1" w:rsidP="000D30D1">
            <w:pPr>
              <w:jc w:val="center"/>
              <w:rPr>
                <w:b/>
              </w:rPr>
            </w:pPr>
            <w:r w:rsidRPr="00E036A0">
              <w:rPr>
                <w:b/>
              </w:rPr>
              <w:t>obiettivo aziendale</w:t>
            </w:r>
          </w:p>
        </w:tc>
        <w:tc>
          <w:tcPr>
            <w:tcW w:w="3693" w:type="dxa"/>
            <w:tcBorders>
              <w:bottom w:val="single" w:sz="4" w:space="0" w:color="auto"/>
            </w:tcBorders>
          </w:tcPr>
          <w:p w:rsidR="008A29F1" w:rsidRPr="00E036A0" w:rsidRDefault="008A29F1" w:rsidP="000D30D1">
            <w:pPr>
              <w:jc w:val="center"/>
              <w:rPr>
                <w:b/>
              </w:rPr>
            </w:pPr>
            <w:r w:rsidRPr="00E036A0">
              <w:rPr>
                <w:b/>
              </w:rPr>
              <w:t>risultato atteso</w:t>
            </w:r>
          </w:p>
        </w:tc>
        <w:tc>
          <w:tcPr>
            <w:tcW w:w="3093" w:type="dxa"/>
            <w:tcBorders>
              <w:bottom w:val="single" w:sz="4" w:space="0" w:color="auto"/>
            </w:tcBorders>
          </w:tcPr>
          <w:p w:rsidR="008A29F1" w:rsidRPr="00E036A0" w:rsidRDefault="008A29F1" w:rsidP="000D30D1">
            <w:pPr>
              <w:jc w:val="center"/>
              <w:rPr>
                <w:b/>
              </w:rPr>
            </w:pPr>
            <w:r w:rsidRPr="00E036A0">
              <w:rPr>
                <w:b/>
              </w:rPr>
              <w:t>Modalità di valutazione</w:t>
            </w:r>
          </w:p>
        </w:tc>
        <w:tc>
          <w:tcPr>
            <w:tcW w:w="1163" w:type="dxa"/>
            <w:tcBorders>
              <w:bottom w:val="single" w:sz="4" w:space="0" w:color="auto"/>
            </w:tcBorders>
          </w:tcPr>
          <w:p w:rsidR="008A29F1" w:rsidRPr="00E036A0" w:rsidRDefault="008A29F1" w:rsidP="000D30D1">
            <w:pPr>
              <w:jc w:val="center"/>
              <w:rPr>
                <w:b/>
              </w:rPr>
            </w:pPr>
            <w:r w:rsidRPr="00E036A0">
              <w:rPr>
                <w:b/>
              </w:rPr>
              <w:t>punteggio</w:t>
            </w:r>
          </w:p>
        </w:tc>
      </w:tr>
      <w:tr w:rsidR="008A29F1" w:rsidRPr="00E036A0" w:rsidTr="000D30D1">
        <w:tblPrEx>
          <w:tblLook w:val="04A0"/>
        </w:tblPrEx>
        <w:trPr>
          <w:trHeight w:val="2830"/>
        </w:trPr>
        <w:tc>
          <w:tcPr>
            <w:tcW w:w="1905" w:type="dxa"/>
            <w:shd w:val="clear" w:color="auto" w:fill="D9D9D9" w:themeFill="background1" w:themeFillShade="D9"/>
          </w:tcPr>
          <w:p w:rsidR="008A29F1" w:rsidRPr="00E036A0" w:rsidRDefault="008A29F1" w:rsidP="000D30D1">
            <w:r w:rsidRPr="00E036A0">
              <w:rPr>
                <w:rFonts w:cs="Calibri"/>
                <w:color w:val="000000"/>
              </w:rPr>
              <w:t>Utilizzo firma digitale</w:t>
            </w:r>
          </w:p>
        </w:tc>
        <w:tc>
          <w:tcPr>
            <w:tcW w:w="3693" w:type="dxa"/>
            <w:shd w:val="clear" w:color="auto" w:fill="D9D9D9" w:themeFill="background1" w:themeFillShade="D9"/>
          </w:tcPr>
          <w:p w:rsidR="008A29F1" w:rsidRPr="00E036A0" w:rsidRDefault="008A29F1" w:rsidP="000D30D1">
            <w:pPr>
              <w:rPr>
                <w:rFonts w:cs="Calibri"/>
                <w:color w:val="000000"/>
              </w:rPr>
            </w:pPr>
            <w:r w:rsidRPr="00E036A0">
              <w:rPr>
                <w:rFonts w:cs="Calibri"/>
                <w:color w:val="000000"/>
              </w:rPr>
              <w:t>E' obbligatorio l'utilizzo della firma digitale sui referti.</w:t>
            </w:r>
            <w:r w:rsidRPr="00E036A0">
              <w:rPr>
                <w:rFonts w:cs="Calibri"/>
                <w:color w:val="000000"/>
              </w:rPr>
              <w:br/>
              <w:t>La percentuale minima di refertazione con firma digitale rispetto al totale dei referti è la seguente:</w:t>
            </w:r>
          </w:p>
          <w:p w:rsidR="008A29F1" w:rsidRPr="00E036A0" w:rsidRDefault="008A29F1" w:rsidP="000D30D1">
            <w:pPr>
              <w:rPr>
                <w:rFonts w:cs="Calibri"/>
                <w:color w:val="000000"/>
              </w:rPr>
            </w:pPr>
            <w:r w:rsidRPr="00E036A0">
              <w:rPr>
                <w:rFonts w:cs="Calibri"/>
                <w:color w:val="000000"/>
              </w:rPr>
              <w:t>- G2 clinico &gt; 80%</w:t>
            </w:r>
          </w:p>
          <w:p w:rsidR="008A29F1" w:rsidRPr="00E036A0" w:rsidRDefault="008A29F1" w:rsidP="000D30D1">
            <w:pPr>
              <w:rPr>
                <w:rFonts w:cs="Calibri"/>
                <w:color w:val="000000"/>
              </w:rPr>
            </w:pPr>
            <w:r w:rsidRPr="00E036A0">
              <w:rPr>
                <w:rFonts w:cs="Calibri"/>
                <w:color w:val="000000"/>
              </w:rPr>
              <w:t>- Laboratorio e microbiologia &gt; 95%</w:t>
            </w:r>
          </w:p>
          <w:p w:rsidR="008A29F1" w:rsidRPr="00E036A0" w:rsidRDefault="008A29F1" w:rsidP="000D30D1">
            <w:pPr>
              <w:rPr>
                <w:rFonts w:cs="Calibri"/>
                <w:color w:val="000000"/>
              </w:rPr>
            </w:pPr>
            <w:r w:rsidRPr="00E036A0">
              <w:rPr>
                <w:rFonts w:cs="Calibri"/>
                <w:color w:val="000000"/>
              </w:rPr>
              <w:t>- Medicina trasfusionale &gt; 90%</w:t>
            </w:r>
          </w:p>
          <w:p w:rsidR="008A29F1" w:rsidRPr="00E036A0" w:rsidRDefault="008A29F1" w:rsidP="000D30D1">
            <w:pPr>
              <w:rPr>
                <w:rFonts w:cs="Calibri"/>
                <w:color w:val="000000"/>
              </w:rPr>
            </w:pPr>
            <w:r w:rsidRPr="00E036A0">
              <w:rPr>
                <w:rFonts w:cs="Calibri"/>
                <w:color w:val="000000"/>
              </w:rPr>
              <w:t>- Radiologia &gt; 95%</w:t>
            </w:r>
          </w:p>
          <w:p w:rsidR="008A29F1" w:rsidRPr="00E036A0" w:rsidRDefault="008A29F1" w:rsidP="000D30D1">
            <w:r w:rsidRPr="00E036A0">
              <w:rPr>
                <w:rFonts w:cs="Calibri"/>
                <w:color w:val="000000"/>
              </w:rPr>
              <w:t>- ECG &gt; 80%</w:t>
            </w:r>
          </w:p>
          <w:p w:rsidR="008A29F1" w:rsidRPr="00E036A0" w:rsidRDefault="008A29F1" w:rsidP="000D30D1">
            <w:pPr>
              <w:jc w:val="both"/>
            </w:pPr>
          </w:p>
        </w:tc>
        <w:tc>
          <w:tcPr>
            <w:tcW w:w="3093" w:type="dxa"/>
            <w:shd w:val="clear" w:color="auto" w:fill="D9D9D9" w:themeFill="background1" w:themeFillShade="D9"/>
          </w:tcPr>
          <w:p w:rsidR="008A29F1" w:rsidRPr="00E036A0" w:rsidRDefault="008A29F1" w:rsidP="000D30D1">
            <w:pPr>
              <w:jc w:val="center"/>
              <w:rPr>
                <w:color w:val="000000"/>
              </w:rPr>
            </w:pPr>
            <w:r w:rsidRPr="00E036A0">
              <w:rPr>
                <w:rFonts w:cs="Calibri"/>
                <w:color w:val="000000"/>
              </w:rPr>
              <w:t>L'obiettivo si intende raggiunto se vengono rispettate le percentuali minime di refertazione con firma digitale rispetto al totale dei referti</w:t>
            </w:r>
          </w:p>
        </w:tc>
        <w:tc>
          <w:tcPr>
            <w:tcW w:w="1163" w:type="dxa"/>
            <w:shd w:val="clear" w:color="auto" w:fill="D9D9D9" w:themeFill="background1" w:themeFillShade="D9"/>
          </w:tcPr>
          <w:p w:rsidR="008A29F1" w:rsidRPr="00E036A0" w:rsidRDefault="008A29F1" w:rsidP="000D30D1">
            <w:pPr>
              <w:jc w:val="center"/>
              <w:rPr>
                <w:color w:val="000000"/>
              </w:rPr>
            </w:pPr>
          </w:p>
          <w:p w:rsidR="008A29F1" w:rsidRPr="00E036A0" w:rsidRDefault="008A29F1" w:rsidP="000D30D1">
            <w:pPr>
              <w:jc w:val="center"/>
              <w:rPr>
                <w:color w:val="000000"/>
              </w:rPr>
            </w:pPr>
          </w:p>
          <w:p w:rsidR="008A29F1" w:rsidRPr="00E036A0" w:rsidRDefault="008A29F1" w:rsidP="000D30D1">
            <w:pPr>
              <w:jc w:val="center"/>
              <w:rPr>
                <w:color w:val="000000"/>
              </w:rPr>
            </w:pPr>
            <w:r w:rsidRPr="00E036A0">
              <w:rPr>
                <w:color w:val="000000"/>
              </w:rPr>
              <w:t>5%</w:t>
            </w:r>
          </w:p>
          <w:p w:rsidR="008A29F1" w:rsidRPr="00E036A0" w:rsidRDefault="008A29F1" w:rsidP="000D30D1">
            <w:pPr>
              <w:jc w:val="center"/>
            </w:pPr>
          </w:p>
        </w:tc>
      </w:tr>
      <w:tr w:rsidR="008A29F1" w:rsidRPr="00E036A0" w:rsidTr="000D30D1">
        <w:trPr>
          <w:tblHeader/>
        </w:trPr>
        <w:tc>
          <w:tcPr>
            <w:tcW w:w="9854" w:type="dxa"/>
            <w:gridSpan w:val="4"/>
            <w:tcBorders>
              <w:bottom w:val="single" w:sz="4" w:space="0" w:color="auto"/>
            </w:tcBorders>
          </w:tcPr>
          <w:p w:rsidR="008A29F1" w:rsidRPr="00E036A0" w:rsidRDefault="008A29F1" w:rsidP="000D30D1">
            <w:pPr>
              <w:jc w:val="center"/>
              <w:rPr>
                <w:b/>
                <w:highlight w:val="red"/>
              </w:rPr>
            </w:pPr>
            <w:r w:rsidRPr="00E036A0">
              <w:rPr>
                <w:b/>
              </w:rPr>
              <w:t>risultato ottenuto al 31.12.2015</w:t>
            </w:r>
          </w:p>
        </w:tc>
      </w:tr>
      <w:tr w:rsidR="008A29F1" w:rsidRPr="00E036A0" w:rsidTr="000D30D1">
        <w:trPr>
          <w:tblHeader/>
        </w:trPr>
        <w:tc>
          <w:tcPr>
            <w:tcW w:w="9854" w:type="dxa"/>
            <w:gridSpan w:val="4"/>
            <w:shd w:val="clear" w:color="auto" w:fill="auto"/>
          </w:tcPr>
          <w:p w:rsidR="008A29F1" w:rsidRPr="00E036A0" w:rsidRDefault="008A29F1" w:rsidP="000D30D1">
            <w:pPr>
              <w:jc w:val="both"/>
              <w:rPr>
                <w:rFonts w:cs="Calibri"/>
                <w:color w:val="000000"/>
              </w:rPr>
            </w:pPr>
            <w:r w:rsidRPr="00E036A0">
              <w:rPr>
                <w:rFonts w:cs="Calibri"/>
                <w:color w:val="000000"/>
              </w:rPr>
              <w:t>- G2 clinico</w:t>
            </w:r>
            <w:r>
              <w:rPr>
                <w:rFonts w:cs="Calibri"/>
                <w:color w:val="000000"/>
              </w:rPr>
              <w:t xml:space="preserve"> totale</w:t>
            </w:r>
            <w:r w:rsidRPr="00E036A0">
              <w:rPr>
                <w:rFonts w:cs="Calibri"/>
                <w:color w:val="000000"/>
              </w:rPr>
              <w:t>: 51,44%</w:t>
            </w:r>
          </w:p>
          <w:p w:rsidR="008A29F1" w:rsidRPr="00E036A0" w:rsidRDefault="008A29F1" w:rsidP="000D30D1">
            <w:pPr>
              <w:jc w:val="both"/>
              <w:rPr>
                <w:rFonts w:cs="Calibri"/>
                <w:color w:val="000000"/>
              </w:rPr>
            </w:pPr>
            <w:r>
              <w:rPr>
                <w:rFonts w:cs="Calibri"/>
                <w:color w:val="000000"/>
              </w:rPr>
              <w:t>- Laboratorio e microbiologia</w:t>
            </w:r>
            <w:r w:rsidRPr="00E036A0">
              <w:rPr>
                <w:rFonts w:cs="Calibri"/>
                <w:color w:val="000000"/>
              </w:rPr>
              <w:t>: 100%</w:t>
            </w:r>
          </w:p>
          <w:p w:rsidR="008A29F1" w:rsidRPr="00E036A0" w:rsidRDefault="008A29F1" w:rsidP="000D30D1">
            <w:pPr>
              <w:jc w:val="both"/>
              <w:rPr>
                <w:rFonts w:cs="Calibri"/>
                <w:color w:val="000000"/>
              </w:rPr>
            </w:pPr>
            <w:r w:rsidRPr="00E036A0">
              <w:rPr>
                <w:rFonts w:cs="Calibri"/>
                <w:color w:val="000000"/>
              </w:rPr>
              <w:t xml:space="preserve">- Medicina trasfusionale: </w:t>
            </w:r>
            <w:r>
              <w:rPr>
                <w:rFonts w:cs="Calibri"/>
                <w:color w:val="000000"/>
              </w:rPr>
              <w:t>attività AAS5</w:t>
            </w:r>
          </w:p>
          <w:p w:rsidR="008A29F1" w:rsidRPr="00E036A0" w:rsidRDefault="008A29F1" w:rsidP="000D30D1">
            <w:pPr>
              <w:jc w:val="both"/>
              <w:rPr>
                <w:rFonts w:cs="Calibri"/>
                <w:color w:val="000000"/>
              </w:rPr>
            </w:pPr>
            <w:r w:rsidRPr="00E036A0">
              <w:rPr>
                <w:rFonts w:cs="Calibri"/>
                <w:color w:val="000000"/>
              </w:rPr>
              <w:t>- Radiologia: 96,73%</w:t>
            </w:r>
          </w:p>
          <w:p w:rsidR="008A29F1" w:rsidRPr="00E036A0" w:rsidRDefault="008A29F1" w:rsidP="000D30D1">
            <w:pPr>
              <w:jc w:val="both"/>
            </w:pPr>
            <w:r w:rsidRPr="00E036A0">
              <w:rPr>
                <w:rFonts w:cs="Calibri"/>
                <w:color w:val="000000"/>
              </w:rPr>
              <w:t>- ECG: 99,68%  tot. Cardiologia (compresi ECG)</w:t>
            </w:r>
          </w:p>
        </w:tc>
      </w:tr>
      <w:tr w:rsidR="008A29F1" w:rsidRPr="00E036A0" w:rsidTr="000D30D1">
        <w:trPr>
          <w:tblHeader/>
        </w:trPr>
        <w:tc>
          <w:tcPr>
            <w:tcW w:w="1905" w:type="dxa"/>
            <w:tcBorders>
              <w:bottom w:val="single" w:sz="4" w:space="0" w:color="auto"/>
            </w:tcBorders>
          </w:tcPr>
          <w:p w:rsidR="008A29F1" w:rsidRPr="00E036A0" w:rsidRDefault="008A29F1" w:rsidP="000D30D1">
            <w:pPr>
              <w:jc w:val="center"/>
              <w:rPr>
                <w:b/>
              </w:rPr>
            </w:pPr>
            <w:r w:rsidRPr="00E036A0">
              <w:rPr>
                <w:b/>
              </w:rPr>
              <w:t>obiettivo aziendale</w:t>
            </w:r>
          </w:p>
        </w:tc>
        <w:tc>
          <w:tcPr>
            <w:tcW w:w="3693" w:type="dxa"/>
            <w:tcBorders>
              <w:bottom w:val="single" w:sz="4" w:space="0" w:color="auto"/>
            </w:tcBorders>
          </w:tcPr>
          <w:p w:rsidR="008A29F1" w:rsidRPr="00E036A0" w:rsidRDefault="008A29F1" w:rsidP="000D30D1">
            <w:pPr>
              <w:jc w:val="center"/>
              <w:rPr>
                <w:b/>
              </w:rPr>
            </w:pPr>
            <w:r w:rsidRPr="00E036A0">
              <w:rPr>
                <w:b/>
              </w:rPr>
              <w:t>risultato atteso</w:t>
            </w:r>
          </w:p>
        </w:tc>
        <w:tc>
          <w:tcPr>
            <w:tcW w:w="3093" w:type="dxa"/>
            <w:tcBorders>
              <w:bottom w:val="single" w:sz="4" w:space="0" w:color="auto"/>
            </w:tcBorders>
          </w:tcPr>
          <w:p w:rsidR="008A29F1" w:rsidRPr="00E036A0" w:rsidRDefault="008A29F1" w:rsidP="000D30D1">
            <w:pPr>
              <w:jc w:val="center"/>
              <w:rPr>
                <w:b/>
              </w:rPr>
            </w:pPr>
            <w:r w:rsidRPr="00E036A0">
              <w:rPr>
                <w:b/>
              </w:rPr>
              <w:t>Modalità di valutazione</w:t>
            </w:r>
          </w:p>
        </w:tc>
        <w:tc>
          <w:tcPr>
            <w:tcW w:w="1163" w:type="dxa"/>
            <w:tcBorders>
              <w:bottom w:val="single" w:sz="4" w:space="0" w:color="auto"/>
            </w:tcBorders>
          </w:tcPr>
          <w:p w:rsidR="008A29F1" w:rsidRPr="00E036A0" w:rsidRDefault="008A29F1" w:rsidP="000D30D1">
            <w:pPr>
              <w:jc w:val="center"/>
              <w:rPr>
                <w:b/>
              </w:rPr>
            </w:pPr>
            <w:r w:rsidRPr="00E036A0">
              <w:rPr>
                <w:b/>
              </w:rPr>
              <w:t>punteggio</w:t>
            </w:r>
          </w:p>
        </w:tc>
      </w:tr>
      <w:tr w:rsidR="008A29F1" w:rsidRPr="00E036A0" w:rsidTr="000D30D1">
        <w:tblPrEx>
          <w:tblLook w:val="04A0"/>
        </w:tblPrEx>
        <w:trPr>
          <w:trHeight w:val="1003"/>
        </w:trPr>
        <w:tc>
          <w:tcPr>
            <w:tcW w:w="1905" w:type="dxa"/>
            <w:shd w:val="clear" w:color="auto" w:fill="D9D9D9" w:themeFill="background1" w:themeFillShade="D9"/>
          </w:tcPr>
          <w:p w:rsidR="008A29F1" w:rsidRPr="00E036A0" w:rsidRDefault="008A29F1" w:rsidP="000D30D1">
            <w:r w:rsidRPr="00E036A0">
              <w:rPr>
                <w:rFonts w:cs="Calibri"/>
                <w:color w:val="000000"/>
              </w:rPr>
              <w:t>Nuovo sistema LIS laboratorio</w:t>
            </w:r>
          </w:p>
        </w:tc>
        <w:tc>
          <w:tcPr>
            <w:tcW w:w="3693" w:type="dxa"/>
            <w:shd w:val="clear" w:color="auto" w:fill="D9D9D9" w:themeFill="background1" w:themeFillShade="D9"/>
          </w:tcPr>
          <w:p w:rsidR="008A29F1" w:rsidRPr="00E036A0" w:rsidRDefault="008A29F1" w:rsidP="000D30D1">
            <w:pPr>
              <w:jc w:val="both"/>
            </w:pPr>
            <w:r w:rsidRPr="00E036A0">
              <w:rPr>
                <w:rFonts w:cs="Calibri"/>
                <w:color w:val="000000"/>
              </w:rPr>
              <w:t xml:space="preserve">Collaborazione alla realizzazione dell'integrazione sistema centrale </w:t>
            </w:r>
            <w:proofErr w:type="spellStart"/>
            <w:r w:rsidRPr="00E036A0">
              <w:rPr>
                <w:rFonts w:cs="Calibri"/>
                <w:color w:val="000000"/>
              </w:rPr>
              <w:t>Lab</w:t>
            </w:r>
            <w:proofErr w:type="spellEnd"/>
            <w:r w:rsidRPr="00E036A0">
              <w:rPr>
                <w:rFonts w:cs="Calibri"/>
                <w:color w:val="000000"/>
              </w:rPr>
              <w:t>, configurazione sportello e configurazione gestore richieste</w:t>
            </w:r>
            <w:r w:rsidRPr="00E036A0">
              <w:t xml:space="preserve"> </w:t>
            </w:r>
          </w:p>
        </w:tc>
        <w:tc>
          <w:tcPr>
            <w:tcW w:w="3093" w:type="dxa"/>
            <w:shd w:val="clear" w:color="auto" w:fill="D9D9D9" w:themeFill="background1" w:themeFillShade="D9"/>
          </w:tcPr>
          <w:p w:rsidR="008A29F1" w:rsidRPr="00E036A0" w:rsidRDefault="008A29F1" w:rsidP="000D30D1">
            <w:pPr>
              <w:jc w:val="center"/>
              <w:rPr>
                <w:color w:val="000000"/>
              </w:rPr>
            </w:pPr>
            <w:r w:rsidRPr="00E036A0">
              <w:rPr>
                <w:rFonts w:cs="Calibri"/>
                <w:color w:val="000000"/>
              </w:rPr>
              <w:t>L'obiettivo si intende raggiunto se entro il 15/12/2015 il sistema è stato integrato</w:t>
            </w:r>
          </w:p>
        </w:tc>
        <w:tc>
          <w:tcPr>
            <w:tcW w:w="1163" w:type="dxa"/>
            <w:shd w:val="clear" w:color="auto" w:fill="D9D9D9" w:themeFill="background1" w:themeFillShade="D9"/>
          </w:tcPr>
          <w:p w:rsidR="008A29F1" w:rsidRPr="00E036A0" w:rsidRDefault="008A29F1" w:rsidP="000D30D1">
            <w:pPr>
              <w:jc w:val="center"/>
              <w:rPr>
                <w:color w:val="000000"/>
              </w:rPr>
            </w:pPr>
          </w:p>
          <w:p w:rsidR="008A29F1" w:rsidRPr="00E036A0" w:rsidRDefault="008A29F1" w:rsidP="000D30D1">
            <w:pPr>
              <w:jc w:val="center"/>
              <w:rPr>
                <w:color w:val="000000"/>
              </w:rPr>
            </w:pPr>
          </w:p>
          <w:p w:rsidR="008A29F1" w:rsidRPr="00E036A0" w:rsidRDefault="008A29F1" w:rsidP="000D30D1">
            <w:pPr>
              <w:jc w:val="center"/>
              <w:rPr>
                <w:color w:val="000000"/>
              </w:rPr>
            </w:pPr>
            <w:r w:rsidRPr="00E036A0">
              <w:rPr>
                <w:color w:val="000000"/>
              </w:rPr>
              <w:t>7%</w:t>
            </w:r>
          </w:p>
          <w:p w:rsidR="008A29F1" w:rsidRPr="00E036A0" w:rsidRDefault="008A29F1" w:rsidP="000D30D1">
            <w:pPr>
              <w:jc w:val="center"/>
            </w:pPr>
          </w:p>
        </w:tc>
      </w:tr>
      <w:tr w:rsidR="008A29F1" w:rsidRPr="00E036A0" w:rsidTr="000D30D1">
        <w:trPr>
          <w:tblHeader/>
        </w:trPr>
        <w:tc>
          <w:tcPr>
            <w:tcW w:w="9854" w:type="dxa"/>
            <w:gridSpan w:val="4"/>
            <w:tcBorders>
              <w:bottom w:val="single" w:sz="4" w:space="0" w:color="auto"/>
            </w:tcBorders>
          </w:tcPr>
          <w:p w:rsidR="008A29F1" w:rsidRPr="00E036A0" w:rsidRDefault="008A29F1" w:rsidP="000D30D1">
            <w:pPr>
              <w:jc w:val="center"/>
              <w:rPr>
                <w:b/>
                <w:highlight w:val="red"/>
              </w:rPr>
            </w:pPr>
            <w:r w:rsidRPr="00E036A0">
              <w:rPr>
                <w:b/>
              </w:rPr>
              <w:t>risultato ottenuto al 31.12.2015</w:t>
            </w:r>
          </w:p>
        </w:tc>
      </w:tr>
      <w:tr w:rsidR="008A29F1" w:rsidRPr="00E036A0" w:rsidTr="000D30D1">
        <w:trPr>
          <w:tblHeader/>
        </w:trPr>
        <w:tc>
          <w:tcPr>
            <w:tcW w:w="9854" w:type="dxa"/>
            <w:gridSpan w:val="4"/>
            <w:shd w:val="clear" w:color="auto" w:fill="auto"/>
          </w:tcPr>
          <w:p w:rsidR="008A29F1" w:rsidRPr="00C03108" w:rsidRDefault="008A29F1" w:rsidP="000D30D1">
            <w:pPr>
              <w:jc w:val="both"/>
            </w:pPr>
            <w:r w:rsidRPr="00C03108">
              <w:t>Il CRO è stato individuato come azienda pilota per l’attivazione del sistema regionale DNLAB (LIS di laboratorio). Il sistema ha raggiunto, già a partire dai primi mesi del 2015, la totale integrazione con le applicazioni di sportello e di gestore richieste. Nel 2015 tutti i reparti eseguono le prenotazioni per gli esami di laboratorio dal Gestore richieste</w:t>
            </w:r>
            <w:r>
              <w:t xml:space="preserve"> e</w:t>
            </w:r>
            <w:r w:rsidRPr="00C03108">
              <w:t xml:space="preserve"> i medici degli ambulatori usano la ricetta elettronica per la prescrizione. Tutte le richieste a DNLAB arrivano in formato elettronico ed il 100% dei referti sono firmati elettronicamente.</w:t>
            </w:r>
          </w:p>
        </w:tc>
      </w:tr>
    </w:tbl>
    <w:p w:rsidR="008A29F1" w:rsidRDefault="008A29F1" w:rsidP="008A29F1">
      <w:pPr>
        <w:tabs>
          <w:tab w:val="left" w:pos="2808"/>
          <w:tab w:val="left" w:pos="6354"/>
          <w:tab w:val="left" w:pos="7530"/>
        </w:tabs>
        <w:rPr>
          <w:b/>
        </w:rPr>
      </w:pPr>
    </w:p>
    <w:p w:rsidR="008A29F1" w:rsidRPr="008E70B1" w:rsidRDefault="008A29F1" w:rsidP="008A29F1">
      <w:pPr>
        <w:pStyle w:val="Paragrafoelenco"/>
        <w:numPr>
          <w:ilvl w:val="0"/>
          <w:numId w:val="10"/>
        </w:numPr>
        <w:tabs>
          <w:tab w:val="left" w:pos="2808"/>
          <w:tab w:val="left" w:pos="6354"/>
          <w:tab w:val="left" w:pos="7530"/>
        </w:tabs>
        <w:spacing w:after="0" w:line="240" w:lineRule="auto"/>
        <w:ind w:left="180" w:hanging="270"/>
        <w:rPr>
          <w:b/>
        </w:rPr>
      </w:pPr>
      <w:r w:rsidRPr="00E05DF1">
        <w:rPr>
          <w:b/>
        </w:rPr>
        <w:t>Tecnologie e investimenti</w:t>
      </w:r>
    </w:p>
    <w:tbl>
      <w:tblPr>
        <w:tblStyle w:val="Grigliatabella"/>
        <w:tblW w:w="0" w:type="auto"/>
        <w:tblLook w:val="01E0"/>
      </w:tblPr>
      <w:tblGrid>
        <w:gridCol w:w="1905"/>
        <w:gridCol w:w="3693"/>
        <w:gridCol w:w="3093"/>
        <w:gridCol w:w="1163"/>
      </w:tblGrid>
      <w:tr w:rsidR="008A29F1" w:rsidRPr="00E036A0" w:rsidTr="000D30D1">
        <w:trPr>
          <w:tblHeader/>
        </w:trPr>
        <w:tc>
          <w:tcPr>
            <w:tcW w:w="1905" w:type="dxa"/>
            <w:tcBorders>
              <w:bottom w:val="single" w:sz="4" w:space="0" w:color="auto"/>
            </w:tcBorders>
          </w:tcPr>
          <w:p w:rsidR="008A29F1" w:rsidRPr="00E036A0" w:rsidRDefault="008A29F1" w:rsidP="000D30D1">
            <w:pPr>
              <w:jc w:val="center"/>
              <w:rPr>
                <w:b/>
              </w:rPr>
            </w:pPr>
            <w:r w:rsidRPr="00E036A0">
              <w:rPr>
                <w:b/>
              </w:rPr>
              <w:t>obiettivo aziendale</w:t>
            </w:r>
          </w:p>
        </w:tc>
        <w:tc>
          <w:tcPr>
            <w:tcW w:w="3693" w:type="dxa"/>
            <w:tcBorders>
              <w:bottom w:val="single" w:sz="4" w:space="0" w:color="auto"/>
            </w:tcBorders>
          </w:tcPr>
          <w:p w:rsidR="008A29F1" w:rsidRPr="00E036A0" w:rsidRDefault="008A29F1" w:rsidP="000D30D1">
            <w:pPr>
              <w:jc w:val="center"/>
              <w:rPr>
                <w:b/>
              </w:rPr>
            </w:pPr>
            <w:r w:rsidRPr="00E036A0">
              <w:rPr>
                <w:b/>
              </w:rPr>
              <w:t>risultato atteso</w:t>
            </w:r>
          </w:p>
        </w:tc>
        <w:tc>
          <w:tcPr>
            <w:tcW w:w="3093" w:type="dxa"/>
            <w:tcBorders>
              <w:bottom w:val="single" w:sz="4" w:space="0" w:color="auto"/>
            </w:tcBorders>
          </w:tcPr>
          <w:p w:rsidR="008A29F1" w:rsidRPr="00E036A0" w:rsidRDefault="008A29F1" w:rsidP="000D30D1">
            <w:pPr>
              <w:jc w:val="center"/>
              <w:rPr>
                <w:b/>
              </w:rPr>
            </w:pPr>
            <w:r w:rsidRPr="00E036A0">
              <w:rPr>
                <w:b/>
              </w:rPr>
              <w:t>Modalità di valutazione</w:t>
            </w:r>
          </w:p>
        </w:tc>
        <w:tc>
          <w:tcPr>
            <w:tcW w:w="1163" w:type="dxa"/>
            <w:tcBorders>
              <w:bottom w:val="single" w:sz="4" w:space="0" w:color="auto"/>
            </w:tcBorders>
          </w:tcPr>
          <w:p w:rsidR="008A29F1" w:rsidRPr="00E036A0" w:rsidRDefault="008A29F1" w:rsidP="000D30D1">
            <w:pPr>
              <w:jc w:val="center"/>
              <w:rPr>
                <w:b/>
              </w:rPr>
            </w:pPr>
            <w:r w:rsidRPr="00E036A0">
              <w:rPr>
                <w:b/>
              </w:rPr>
              <w:t>Punteggio</w:t>
            </w:r>
          </w:p>
        </w:tc>
      </w:tr>
      <w:tr w:rsidR="008A29F1" w:rsidRPr="00E036A0" w:rsidTr="000D30D1">
        <w:tblPrEx>
          <w:tblLook w:val="04A0"/>
        </w:tblPrEx>
        <w:trPr>
          <w:trHeight w:val="1336"/>
        </w:trPr>
        <w:tc>
          <w:tcPr>
            <w:tcW w:w="1905" w:type="dxa"/>
            <w:shd w:val="clear" w:color="auto" w:fill="D9D9D9" w:themeFill="background1" w:themeFillShade="D9"/>
          </w:tcPr>
          <w:p w:rsidR="008A29F1" w:rsidRPr="00E036A0" w:rsidRDefault="008A29F1" w:rsidP="000D30D1">
            <w:r w:rsidRPr="00E036A0">
              <w:rPr>
                <w:rFonts w:cs="Calibri"/>
                <w:color w:val="000000"/>
              </w:rPr>
              <w:t>Acquisizione tecnologie</w:t>
            </w:r>
          </w:p>
        </w:tc>
        <w:tc>
          <w:tcPr>
            <w:tcW w:w="3693" w:type="dxa"/>
            <w:shd w:val="clear" w:color="auto" w:fill="D9D9D9" w:themeFill="background1" w:themeFillShade="D9"/>
          </w:tcPr>
          <w:p w:rsidR="008A29F1" w:rsidRPr="00E036A0" w:rsidRDefault="008A29F1" w:rsidP="008A29F1">
            <w:pPr>
              <w:pStyle w:val="Paragrafoelenco"/>
              <w:numPr>
                <w:ilvl w:val="0"/>
                <w:numId w:val="28"/>
              </w:numPr>
              <w:tabs>
                <w:tab w:val="left" w:pos="375"/>
              </w:tabs>
              <w:ind w:left="0" w:firstLine="0"/>
              <w:jc w:val="both"/>
              <w:rPr>
                <w:rFonts w:cs="Calibri"/>
                <w:color w:val="000000"/>
              </w:rPr>
            </w:pPr>
            <w:r w:rsidRPr="00E036A0">
              <w:rPr>
                <w:rFonts w:cs="Calibri"/>
                <w:color w:val="000000"/>
              </w:rPr>
              <w:t>Acquisizione delle seguenti tecnologie previste a piano:</w:t>
            </w:r>
          </w:p>
          <w:p w:rsidR="008A29F1" w:rsidRPr="00E036A0" w:rsidRDefault="008A29F1" w:rsidP="000D30D1">
            <w:pPr>
              <w:pStyle w:val="Paragrafoelenco"/>
              <w:tabs>
                <w:tab w:val="left" w:pos="375"/>
              </w:tabs>
              <w:ind w:left="0"/>
              <w:jc w:val="both"/>
              <w:rPr>
                <w:rFonts w:cs="Calibri"/>
                <w:color w:val="000000"/>
              </w:rPr>
            </w:pPr>
            <w:r w:rsidRPr="00E036A0">
              <w:rPr>
                <w:rFonts w:cs="Calibri"/>
                <w:color w:val="000000"/>
              </w:rPr>
              <w:t>Acceleratore lineare</w:t>
            </w:r>
          </w:p>
          <w:p w:rsidR="008A29F1" w:rsidRPr="00E036A0" w:rsidRDefault="008A29F1" w:rsidP="000D30D1">
            <w:pPr>
              <w:pStyle w:val="Paragrafoelenco"/>
              <w:tabs>
                <w:tab w:val="left" w:pos="375"/>
              </w:tabs>
              <w:ind w:left="0"/>
              <w:jc w:val="both"/>
              <w:rPr>
                <w:rFonts w:cs="Calibri"/>
                <w:color w:val="000000"/>
              </w:rPr>
            </w:pPr>
          </w:p>
          <w:p w:rsidR="008A29F1" w:rsidRPr="00E036A0" w:rsidRDefault="008A29F1" w:rsidP="008A29F1">
            <w:pPr>
              <w:pStyle w:val="Paragrafoelenco"/>
              <w:numPr>
                <w:ilvl w:val="0"/>
                <w:numId w:val="28"/>
              </w:numPr>
              <w:tabs>
                <w:tab w:val="left" w:pos="375"/>
              </w:tabs>
              <w:ind w:left="0" w:firstLine="0"/>
              <w:jc w:val="both"/>
              <w:rPr>
                <w:rFonts w:cs="Calibri"/>
                <w:color w:val="000000"/>
              </w:rPr>
            </w:pPr>
            <w:r w:rsidRPr="00E036A0">
              <w:rPr>
                <w:rFonts w:cs="Calibri"/>
                <w:color w:val="000000"/>
              </w:rPr>
              <w:t>Acquisizione delle seguenti tecnologie previste a piano:</w:t>
            </w:r>
          </w:p>
          <w:p w:rsidR="008A29F1" w:rsidRPr="00E036A0" w:rsidRDefault="008A29F1" w:rsidP="000D30D1">
            <w:pPr>
              <w:pStyle w:val="Paragrafoelenco"/>
              <w:tabs>
                <w:tab w:val="left" w:pos="375"/>
              </w:tabs>
              <w:ind w:left="0"/>
              <w:jc w:val="both"/>
              <w:rPr>
                <w:rFonts w:cs="Calibri"/>
                <w:color w:val="000000"/>
              </w:rPr>
            </w:pPr>
            <w:r w:rsidRPr="00E036A0">
              <w:rPr>
                <w:rFonts w:cs="Calibri"/>
                <w:color w:val="000000"/>
              </w:rPr>
              <w:t>Sistema mammografico</w:t>
            </w:r>
          </w:p>
          <w:p w:rsidR="008A29F1" w:rsidRPr="00E036A0" w:rsidRDefault="008A29F1" w:rsidP="000D30D1">
            <w:pPr>
              <w:pStyle w:val="Paragrafoelenco"/>
              <w:ind w:left="0"/>
              <w:rPr>
                <w:rFonts w:cs="Calibri"/>
                <w:color w:val="000000"/>
              </w:rPr>
            </w:pPr>
          </w:p>
          <w:p w:rsidR="008A29F1" w:rsidRPr="00E036A0" w:rsidRDefault="008A29F1" w:rsidP="000D30D1">
            <w:pPr>
              <w:pStyle w:val="Paragrafoelenco"/>
              <w:ind w:left="0"/>
              <w:rPr>
                <w:rFonts w:cs="Calibri"/>
                <w:color w:val="000000"/>
              </w:rPr>
            </w:pPr>
          </w:p>
          <w:p w:rsidR="008A29F1" w:rsidRPr="00E036A0" w:rsidRDefault="008A29F1" w:rsidP="000D30D1"/>
        </w:tc>
        <w:tc>
          <w:tcPr>
            <w:tcW w:w="3093" w:type="dxa"/>
            <w:shd w:val="clear" w:color="auto" w:fill="D9D9D9" w:themeFill="background1" w:themeFillShade="D9"/>
          </w:tcPr>
          <w:p w:rsidR="008A29F1" w:rsidRPr="00E036A0" w:rsidRDefault="008A29F1" w:rsidP="000D30D1">
            <w:pPr>
              <w:jc w:val="center"/>
              <w:rPr>
                <w:rFonts w:cs="Calibri"/>
                <w:color w:val="000000"/>
              </w:rPr>
            </w:pPr>
            <w:r w:rsidRPr="00E036A0">
              <w:rPr>
                <w:rFonts w:cs="Calibri"/>
                <w:color w:val="000000"/>
              </w:rPr>
              <w:lastRenderedPageBreak/>
              <w:t>Predisposizione e trasmissione all'</w:t>
            </w:r>
            <w:proofErr w:type="spellStart"/>
            <w:r w:rsidRPr="00E036A0">
              <w:rPr>
                <w:rFonts w:cs="Calibri"/>
                <w:color w:val="000000"/>
              </w:rPr>
              <w:t>Egas</w:t>
            </w:r>
            <w:proofErr w:type="spellEnd"/>
            <w:r w:rsidRPr="00E036A0">
              <w:rPr>
                <w:rFonts w:cs="Calibri"/>
                <w:color w:val="000000"/>
              </w:rPr>
              <w:t xml:space="preserve"> della documentazione per l'avvio della procedura di gara entro il 31.12.2015</w:t>
            </w:r>
          </w:p>
          <w:p w:rsidR="008A29F1" w:rsidRPr="00E036A0" w:rsidRDefault="008A29F1" w:rsidP="000D30D1">
            <w:pPr>
              <w:jc w:val="center"/>
              <w:rPr>
                <w:rFonts w:cs="Calibri"/>
                <w:color w:val="000000"/>
              </w:rPr>
            </w:pPr>
          </w:p>
          <w:p w:rsidR="008A29F1" w:rsidRPr="00E036A0" w:rsidRDefault="008A29F1" w:rsidP="000D30D1">
            <w:pPr>
              <w:jc w:val="center"/>
              <w:rPr>
                <w:color w:val="000000"/>
              </w:rPr>
            </w:pPr>
            <w:r w:rsidRPr="00E036A0">
              <w:rPr>
                <w:rFonts w:cs="Calibri"/>
                <w:color w:val="000000"/>
              </w:rPr>
              <w:t>Predisposizione e trasmissione all'</w:t>
            </w:r>
            <w:proofErr w:type="spellStart"/>
            <w:r w:rsidRPr="00E036A0">
              <w:rPr>
                <w:rFonts w:cs="Calibri"/>
                <w:color w:val="000000"/>
              </w:rPr>
              <w:t>Egas</w:t>
            </w:r>
            <w:proofErr w:type="spellEnd"/>
            <w:r w:rsidRPr="00E036A0">
              <w:rPr>
                <w:rFonts w:cs="Calibri"/>
                <w:color w:val="000000"/>
              </w:rPr>
              <w:t xml:space="preserve"> della documentazione </w:t>
            </w:r>
            <w:r w:rsidRPr="00E036A0">
              <w:rPr>
                <w:rFonts w:cs="Calibri"/>
                <w:color w:val="000000"/>
              </w:rPr>
              <w:lastRenderedPageBreak/>
              <w:t>per l'avvio della procedura di gara entro il 31.12.2015</w:t>
            </w:r>
          </w:p>
        </w:tc>
        <w:tc>
          <w:tcPr>
            <w:tcW w:w="1163" w:type="dxa"/>
            <w:shd w:val="clear" w:color="auto" w:fill="D9D9D9" w:themeFill="background1" w:themeFillShade="D9"/>
          </w:tcPr>
          <w:p w:rsidR="008A29F1" w:rsidRPr="00E036A0" w:rsidRDefault="008A29F1" w:rsidP="000D30D1">
            <w:pPr>
              <w:jc w:val="center"/>
              <w:rPr>
                <w:color w:val="000000"/>
              </w:rPr>
            </w:pPr>
          </w:p>
          <w:p w:rsidR="008A29F1" w:rsidRPr="00E036A0" w:rsidRDefault="008A29F1" w:rsidP="000D30D1">
            <w:pPr>
              <w:jc w:val="center"/>
              <w:rPr>
                <w:color w:val="000000"/>
              </w:rPr>
            </w:pPr>
            <w:r w:rsidRPr="00E036A0">
              <w:rPr>
                <w:color w:val="000000"/>
              </w:rPr>
              <w:t>10%</w:t>
            </w:r>
          </w:p>
          <w:p w:rsidR="008A29F1" w:rsidRPr="00E036A0" w:rsidRDefault="008A29F1" w:rsidP="000D30D1">
            <w:pPr>
              <w:jc w:val="center"/>
            </w:pPr>
          </w:p>
          <w:p w:rsidR="008A29F1" w:rsidRPr="00E036A0" w:rsidRDefault="008A29F1" w:rsidP="000D30D1">
            <w:pPr>
              <w:jc w:val="center"/>
            </w:pPr>
          </w:p>
          <w:p w:rsidR="008A29F1" w:rsidRPr="00E036A0" w:rsidRDefault="008A29F1" w:rsidP="000D30D1">
            <w:pPr>
              <w:jc w:val="center"/>
            </w:pPr>
            <w:r w:rsidRPr="00E036A0">
              <w:t>10%</w:t>
            </w:r>
          </w:p>
        </w:tc>
      </w:tr>
      <w:tr w:rsidR="008A29F1" w:rsidRPr="00E036A0" w:rsidTr="000D30D1">
        <w:trPr>
          <w:tblHeader/>
        </w:trPr>
        <w:tc>
          <w:tcPr>
            <w:tcW w:w="9854" w:type="dxa"/>
            <w:gridSpan w:val="4"/>
            <w:tcBorders>
              <w:bottom w:val="single" w:sz="4" w:space="0" w:color="auto"/>
            </w:tcBorders>
          </w:tcPr>
          <w:p w:rsidR="008A29F1" w:rsidRPr="00E036A0" w:rsidRDefault="008A29F1" w:rsidP="000D30D1">
            <w:pPr>
              <w:jc w:val="center"/>
              <w:rPr>
                <w:b/>
                <w:highlight w:val="red"/>
              </w:rPr>
            </w:pPr>
            <w:r w:rsidRPr="00E036A0">
              <w:rPr>
                <w:b/>
              </w:rPr>
              <w:lastRenderedPageBreak/>
              <w:t>risultato ottenuto al 31.12.2015</w:t>
            </w:r>
          </w:p>
        </w:tc>
      </w:tr>
      <w:tr w:rsidR="008A29F1" w:rsidRPr="00E036A0" w:rsidTr="000D30D1">
        <w:trPr>
          <w:tblHeader/>
        </w:trPr>
        <w:tc>
          <w:tcPr>
            <w:tcW w:w="9854" w:type="dxa"/>
            <w:gridSpan w:val="4"/>
            <w:shd w:val="clear" w:color="auto" w:fill="auto"/>
          </w:tcPr>
          <w:p w:rsidR="008A29F1" w:rsidRPr="00227F3F" w:rsidRDefault="008A29F1" w:rsidP="008A29F1">
            <w:pPr>
              <w:pStyle w:val="Paragrafoelenco"/>
              <w:numPr>
                <w:ilvl w:val="0"/>
                <w:numId w:val="30"/>
              </w:numPr>
              <w:jc w:val="both"/>
              <w:rPr>
                <w:rFonts w:cs="Calibri"/>
                <w:color w:val="000000"/>
              </w:rPr>
            </w:pPr>
            <w:r w:rsidRPr="00227F3F">
              <w:rPr>
                <w:rFonts w:cs="Calibri"/>
                <w:color w:val="000000"/>
              </w:rPr>
              <w:t>Trasmesso all’EGAS in data 22</w:t>
            </w:r>
            <w:r>
              <w:rPr>
                <w:rFonts w:cs="Calibri"/>
                <w:color w:val="000000"/>
              </w:rPr>
              <w:t>.</w:t>
            </w:r>
            <w:r w:rsidRPr="00227F3F">
              <w:rPr>
                <w:rFonts w:cs="Calibri"/>
                <w:color w:val="000000"/>
              </w:rPr>
              <w:t>12</w:t>
            </w:r>
            <w:r>
              <w:rPr>
                <w:rFonts w:cs="Calibri"/>
                <w:color w:val="000000"/>
              </w:rPr>
              <w:t>.</w:t>
            </w:r>
            <w:r w:rsidRPr="00227F3F">
              <w:rPr>
                <w:rFonts w:cs="Calibri"/>
                <w:color w:val="000000"/>
              </w:rPr>
              <w:t>2015</w:t>
            </w:r>
          </w:p>
          <w:p w:rsidR="008A29F1" w:rsidRPr="00227F3F" w:rsidRDefault="008A29F1" w:rsidP="008A29F1">
            <w:pPr>
              <w:pStyle w:val="Paragrafoelenco"/>
              <w:numPr>
                <w:ilvl w:val="0"/>
                <w:numId w:val="30"/>
              </w:numPr>
              <w:jc w:val="both"/>
            </w:pPr>
            <w:r w:rsidRPr="00227F3F">
              <w:rPr>
                <w:rFonts w:cs="Calibri"/>
                <w:color w:val="000000"/>
              </w:rPr>
              <w:t>Trasmesso all’EGAS in data 17</w:t>
            </w:r>
            <w:r>
              <w:rPr>
                <w:rFonts w:cs="Calibri"/>
                <w:color w:val="000000"/>
              </w:rPr>
              <w:t>.</w:t>
            </w:r>
            <w:r w:rsidRPr="00227F3F">
              <w:rPr>
                <w:rFonts w:cs="Calibri"/>
                <w:color w:val="000000"/>
              </w:rPr>
              <w:t>11</w:t>
            </w:r>
            <w:r>
              <w:rPr>
                <w:rFonts w:cs="Calibri"/>
                <w:color w:val="000000"/>
              </w:rPr>
              <w:t>.</w:t>
            </w:r>
            <w:r w:rsidRPr="00227F3F">
              <w:rPr>
                <w:rFonts w:cs="Calibri"/>
                <w:color w:val="000000"/>
              </w:rPr>
              <w:t>2015</w:t>
            </w:r>
          </w:p>
        </w:tc>
      </w:tr>
    </w:tbl>
    <w:p w:rsidR="008A29F1" w:rsidRDefault="008A29F1" w:rsidP="008A29F1">
      <w:pPr>
        <w:tabs>
          <w:tab w:val="left" w:pos="2808"/>
          <w:tab w:val="left" w:pos="6354"/>
          <w:tab w:val="left" w:pos="7530"/>
        </w:tabs>
        <w:rPr>
          <w:b/>
        </w:rPr>
      </w:pPr>
    </w:p>
    <w:p w:rsidR="008A29F1" w:rsidRPr="00E036A0" w:rsidRDefault="008A29F1" w:rsidP="008A29F1">
      <w:pPr>
        <w:pStyle w:val="Paragrafoelenco"/>
        <w:numPr>
          <w:ilvl w:val="0"/>
          <w:numId w:val="10"/>
        </w:numPr>
        <w:tabs>
          <w:tab w:val="left" w:pos="2808"/>
          <w:tab w:val="left" w:pos="6354"/>
          <w:tab w:val="left" w:pos="7530"/>
        </w:tabs>
        <w:spacing w:after="0" w:line="240" w:lineRule="auto"/>
        <w:ind w:left="180" w:hanging="270"/>
        <w:rPr>
          <w:b/>
        </w:rPr>
      </w:pPr>
      <w:r w:rsidRPr="00E036A0">
        <w:rPr>
          <w:b/>
        </w:rPr>
        <w:t>EGAS</w:t>
      </w:r>
    </w:p>
    <w:tbl>
      <w:tblPr>
        <w:tblStyle w:val="Grigliatabella"/>
        <w:tblW w:w="9854" w:type="dxa"/>
        <w:tblLook w:val="01E0"/>
      </w:tblPr>
      <w:tblGrid>
        <w:gridCol w:w="1855"/>
        <w:gridCol w:w="3760"/>
        <w:gridCol w:w="3043"/>
        <w:gridCol w:w="1196"/>
      </w:tblGrid>
      <w:tr w:rsidR="008A29F1" w:rsidRPr="00E036A0" w:rsidTr="000D30D1">
        <w:trPr>
          <w:tblHeader/>
        </w:trPr>
        <w:tc>
          <w:tcPr>
            <w:tcW w:w="1855" w:type="dxa"/>
            <w:tcBorders>
              <w:bottom w:val="single" w:sz="4" w:space="0" w:color="auto"/>
            </w:tcBorders>
          </w:tcPr>
          <w:p w:rsidR="008A29F1" w:rsidRPr="00E036A0" w:rsidRDefault="008A29F1" w:rsidP="000D30D1">
            <w:pPr>
              <w:jc w:val="center"/>
              <w:rPr>
                <w:b/>
              </w:rPr>
            </w:pPr>
            <w:r w:rsidRPr="00E036A0">
              <w:rPr>
                <w:b/>
              </w:rPr>
              <w:t>obiettivo aziendale</w:t>
            </w:r>
          </w:p>
        </w:tc>
        <w:tc>
          <w:tcPr>
            <w:tcW w:w="3760" w:type="dxa"/>
            <w:tcBorders>
              <w:bottom w:val="single" w:sz="4" w:space="0" w:color="auto"/>
            </w:tcBorders>
          </w:tcPr>
          <w:p w:rsidR="008A29F1" w:rsidRPr="00E036A0" w:rsidRDefault="008A29F1" w:rsidP="000D30D1">
            <w:pPr>
              <w:jc w:val="center"/>
              <w:rPr>
                <w:b/>
              </w:rPr>
            </w:pPr>
            <w:r w:rsidRPr="00E036A0">
              <w:rPr>
                <w:b/>
              </w:rPr>
              <w:t>risultato atteso</w:t>
            </w:r>
          </w:p>
        </w:tc>
        <w:tc>
          <w:tcPr>
            <w:tcW w:w="3043" w:type="dxa"/>
            <w:tcBorders>
              <w:bottom w:val="single" w:sz="4" w:space="0" w:color="auto"/>
            </w:tcBorders>
          </w:tcPr>
          <w:p w:rsidR="008A29F1" w:rsidRPr="00E036A0" w:rsidRDefault="008A29F1" w:rsidP="000D30D1">
            <w:pPr>
              <w:jc w:val="center"/>
              <w:rPr>
                <w:b/>
              </w:rPr>
            </w:pPr>
            <w:r w:rsidRPr="00E036A0">
              <w:rPr>
                <w:b/>
              </w:rPr>
              <w:t>Modalità di valutazione</w:t>
            </w:r>
          </w:p>
        </w:tc>
        <w:tc>
          <w:tcPr>
            <w:tcW w:w="1196" w:type="dxa"/>
            <w:tcBorders>
              <w:bottom w:val="single" w:sz="4" w:space="0" w:color="auto"/>
            </w:tcBorders>
          </w:tcPr>
          <w:p w:rsidR="008A29F1" w:rsidRPr="00E036A0" w:rsidRDefault="008A29F1" w:rsidP="000D30D1">
            <w:pPr>
              <w:jc w:val="center"/>
              <w:rPr>
                <w:b/>
              </w:rPr>
            </w:pPr>
            <w:r w:rsidRPr="00E036A0">
              <w:rPr>
                <w:b/>
              </w:rPr>
              <w:t>punteggio</w:t>
            </w:r>
          </w:p>
        </w:tc>
      </w:tr>
      <w:tr w:rsidR="008A29F1" w:rsidRPr="00E036A0" w:rsidTr="000D30D1">
        <w:trPr>
          <w:trHeight w:val="1930"/>
        </w:trPr>
        <w:tc>
          <w:tcPr>
            <w:tcW w:w="1855" w:type="dxa"/>
            <w:shd w:val="clear" w:color="auto" w:fill="D9D9D9" w:themeFill="background1" w:themeFillShade="D9"/>
          </w:tcPr>
          <w:p w:rsidR="008A29F1" w:rsidRPr="00E036A0" w:rsidRDefault="008A29F1" w:rsidP="000D30D1">
            <w:r w:rsidRPr="00E036A0">
              <w:rPr>
                <w:rFonts w:cs="Calibri"/>
                <w:color w:val="000000"/>
              </w:rPr>
              <w:t>Supporto all'attività dell'EGAS</w:t>
            </w:r>
          </w:p>
        </w:tc>
        <w:tc>
          <w:tcPr>
            <w:tcW w:w="3760" w:type="dxa"/>
            <w:shd w:val="clear" w:color="auto" w:fill="D9D9D9" w:themeFill="background1" w:themeFillShade="D9"/>
          </w:tcPr>
          <w:p w:rsidR="008A29F1" w:rsidRPr="00E036A0" w:rsidRDefault="008A29F1" w:rsidP="000D30D1">
            <w:pPr>
              <w:rPr>
                <w:rFonts w:cs="Calibri"/>
                <w:color w:val="000000"/>
              </w:rPr>
            </w:pPr>
            <w:r w:rsidRPr="00E036A0">
              <w:rPr>
                <w:rFonts w:cs="Calibri"/>
                <w:color w:val="000000"/>
              </w:rPr>
              <w:t>Rispetto dei termini e prescrizioni operative assegnati dall'</w:t>
            </w:r>
            <w:proofErr w:type="spellStart"/>
            <w:r w:rsidRPr="00E036A0">
              <w:rPr>
                <w:rFonts w:cs="Calibri"/>
                <w:color w:val="000000"/>
              </w:rPr>
              <w:t>Egas</w:t>
            </w:r>
            <w:proofErr w:type="spellEnd"/>
            <w:r w:rsidRPr="00E036A0">
              <w:rPr>
                <w:rFonts w:cs="Calibri"/>
                <w:color w:val="000000"/>
              </w:rPr>
              <w:t xml:space="preserve"> a supporto dell'attività dell'ente</w:t>
            </w:r>
          </w:p>
        </w:tc>
        <w:tc>
          <w:tcPr>
            <w:tcW w:w="3043" w:type="dxa"/>
            <w:shd w:val="clear" w:color="auto" w:fill="D9D9D9" w:themeFill="background1" w:themeFillShade="D9"/>
          </w:tcPr>
          <w:p w:rsidR="008A29F1" w:rsidRPr="00E036A0" w:rsidRDefault="008A29F1" w:rsidP="000D30D1">
            <w:pPr>
              <w:jc w:val="center"/>
              <w:rPr>
                <w:color w:val="000000"/>
              </w:rPr>
            </w:pPr>
            <w:r w:rsidRPr="00E036A0">
              <w:rPr>
                <w:rFonts w:cs="Calibri"/>
                <w:color w:val="000000"/>
              </w:rPr>
              <w:t xml:space="preserve">L'obiettivo si intende raggiunto quanto vengono rispettate le tempistiche e gli impegni presi in Comitato di Indirizzo </w:t>
            </w:r>
            <w:proofErr w:type="spellStart"/>
            <w:r w:rsidRPr="00E036A0">
              <w:rPr>
                <w:rFonts w:cs="Calibri"/>
                <w:color w:val="000000"/>
              </w:rPr>
              <w:t>Egas</w:t>
            </w:r>
            <w:proofErr w:type="spellEnd"/>
            <w:r w:rsidRPr="00E036A0">
              <w:rPr>
                <w:rFonts w:cs="Calibri"/>
                <w:color w:val="000000"/>
              </w:rPr>
              <w:t xml:space="preserve"> a supporto delle attività dell'ente.</w:t>
            </w:r>
            <w:r w:rsidRPr="00E036A0">
              <w:rPr>
                <w:rFonts w:cs="Calibri"/>
                <w:color w:val="000000"/>
              </w:rPr>
              <w:br/>
              <w:t>Ai fini della valutazione dell'obiettivo, l'EGAS attesterà il rispetto delle tempistiche e degli impegni assunti.</w:t>
            </w:r>
          </w:p>
        </w:tc>
        <w:tc>
          <w:tcPr>
            <w:tcW w:w="1196" w:type="dxa"/>
            <w:shd w:val="clear" w:color="auto" w:fill="D9D9D9" w:themeFill="background1" w:themeFillShade="D9"/>
          </w:tcPr>
          <w:p w:rsidR="008A29F1" w:rsidRPr="00E036A0" w:rsidRDefault="008A29F1" w:rsidP="000D30D1">
            <w:pPr>
              <w:jc w:val="center"/>
              <w:rPr>
                <w:color w:val="000000"/>
              </w:rPr>
            </w:pPr>
          </w:p>
          <w:p w:rsidR="008A29F1" w:rsidRPr="00E036A0" w:rsidRDefault="008A29F1" w:rsidP="000D30D1">
            <w:pPr>
              <w:jc w:val="center"/>
              <w:rPr>
                <w:color w:val="000000"/>
              </w:rPr>
            </w:pPr>
          </w:p>
          <w:p w:rsidR="008A29F1" w:rsidRPr="00E036A0" w:rsidRDefault="008A29F1" w:rsidP="000D30D1">
            <w:pPr>
              <w:jc w:val="center"/>
            </w:pPr>
            <w:r w:rsidRPr="00E036A0">
              <w:rPr>
                <w:rFonts w:cs="Calibri"/>
                <w:color w:val="000000"/>
              </w:rPr>
              <w:t>5,0%</w:t>
            </w:r>
          </w:p>
        </w:tc>
      </w:tr>
      <w:tr w:rsidR="008A29F1" w:rsidRPr="00E036A0" w:rsidTr="000D30D1">
        <w:trPr>
          <w:tblHeader/>
        </w:trPr>
        <w:tc>
          <w:tcPr>
            <w:tcW w:w="9854" w:type="dxa"/>
            <w:gridSpan w:val="4"/>
          </w:tcPr>
          <w:p w:rsidR="008A29F1" w:rsidRPr="00E036A0" w:rsidRDefault="008A29F1" w:rsidP="000D30D1">
            <w:pPr>
              <w:jc w:val="center"/>
              <w:rPr>
                <w:b/>
              </w:rPr>
            </w:pPr>
            <w:r w:rsidRPr="00E036A0">
              <w:rPr>
                <w:b/>
              </w:rPr>
              <w:t>risultato ottenuto al 31.12.2015</w:t>
            </w:r>
          </w:p>
        </w:tc>
      </w:tr>
      <w:tr w:rsidR="008A29F1" w:rsidRPr="00227F3F" w:rsidTr="000D30D1">
        <w:trPr>
          <w:tblHeader/>
        </w:trPr>
        <w:tc>
          <w:tcPr>
            <w:tcW w:w="9854" w:type="dxa"/>
            <w:gridSpan w:val="4"/>
          </w:tcPr>
          <w:p w:rsidR="008A29F1" w:rsidRPr="0015047C" w:rsidRDefault="008A29F1" w:rsidP="000D30D1">
            <w:r w:rsidRPr="0015047C">
              <w:rPr>
                <w:rFonts w:cs="Calibri"/>
                <w:color w:val="000000"/>
              </w:rPr>
              <w:t xml:space="preserve">Sono state rispettate le tempistiche e gli impegni presi in Comitato di Indirizzo </w:t>
            </w:r>
            <w:proofErr w:type="spellStart"/>
            <w:r w:rsidRPr="0015047C">
              <w:rPr>
                <w:rFonts w:cs="Calibri"/>
                <w:color w:val="000000"/>
              </w:rPr>
              <w:t>Egas</w:t>
            </w:r>
            <w:proofErr w:type="spellEnd"/>
            <w:r w:rsidRPr="0015047C">
              <w:rPr>
                <w:rFonts w:cs="Calibri"/>
                <w:color w:val="000000"/>
              </w:rPr>
              <w:t xml:space="preserve"> a supporto delle attività dell’ente (individuazione fabbisogni, gruppi di lavoro, documenti tecnici)</w:t>
            </w:r>
          </w:p>
        </w:tc>
      </w:tr>
    </w:tbl>
    <w:p w:rsidR="008A29F1" w:rsidRPr="00E036A0" w:rsidRDefault="008A29F1" w:rsidP="008A29F1"/>
    <w:p w:rsidR="008A29F1" w:rsidRPr="00E036A0" w:rsidRDefault="008A29F1" w:rsidP="008A29F1">
      <w:pPr>
        <w:pStyle w:val="Paragrafoelenco"/>
        <w:numPr>
          <w:ilvl w:val="0"/>
          <w:numId w:val="10"/>
        </w:numPr>
        <w:tabs>
          <w:tab w:val="left" w:pos="2808"/>
          <w:tab w:val="left" w:pos="6354"/>
          <w:tab w:val="left" w:pos="7530"/>
        </w:tabs>
        <w:spacing w:after="0" w:line="240" w:lineRule="auto"/>
        <w:ind w:left="180" w:hanging="270"/>
        <w:rPr>
          <w:b/>
        </w:rPr>
      </w:pPr>
      <w:r w:rsidRPr="00E036A0">
        <w:rPr>
          <w:b/>
        </w:rPr>
        <w:t>Clima interno</w:t>
      </w:r>
    </w:p>
    <w:tbl>
      <w:tblPr>
        <w:tblStyle w:val="Grigliatabella"/>
        <w:tblW w:w="9854" w:type="dxa"/>
        <w:tblLook w:val="01E0"/>
      </w:tblPr>
      <w:tblGrid>
        <w:gridCol w:w="1855"/>
        <w:gridCol w:w="3760"/>
        <w:gridCol w:w="3043"/>
        <w:gridCol w:w="1196"/>
      </w:tblGrid>
      <w:tr w:rsidR="008A29F1" w:rsidRPr="00E036A0" w:rsidTr="000D30D1">
        <w:trPr>
          <w:tblHeader/>
        </w:trPr>
        <w:tc>
          <w:tcPr>
            <w:tcW w:w="1855" w:type="dxa"/>
            <w:tcBorders>
              <w:bottom w:val="single" w:sz="4" w:space="0" w:color="auto"/>
            </w:tcBorders>
          </w:tcPr>
          <w:p w:rsidR="008A29F1" w:rsidRPr="00E036A0" w:rsidRDefault="008A29F1" w:rsidP="000D30D1">
            <w:pPr>
              <w:jc w:val="center"/>
              <w:rPr>
                <w:b/>
              </w:rPr>
            </w:pPr>
            <w:r w:rsidRPr="00E036A0">
              <w:rPr>
                <w:b/>
              </w:rPr>
              <w:t>obiettivo aziendale</w:t>
            </w:r>
          </w:p>
        </w:tc>
        <w:tc>
          <w:tcPr>
            <w:tcW w:w="3760" w:type="dxa"/>
            <w:tcBorders>
              <w:bottom w:val="single" w:sz="4" w:space="0" w:color="auto"/>
            </w:tcBorders>
          </w:tcPr>
          <w:p w:rsidR="008A29F1" w:rsidRPr="00E036A0" w:rsidRDefault="008A29F1" w:rsidP="000D30D1">
            <w:pPr>
              <w:jc w:val="center"/>
              <w:rPr>
                <w:b/>
              </w:rPr>
            </w:pPr>
            <w:r w:rsidRPr="00E036A0">
              <w:rPr>
                <w:b/>
              </w:rPr>
              <w:t>risultato atteso</w:t>
            </w:r>
          </w:p>
        </w:tc>
        <w:tc>
          <w:tcPr>
            <w:tcW w:w="3043" w:type="dxa"/>
            <w:tcBorders>
              <w:bottom w:val="single" w:sz="4" w:space="0" w:color="auto"/>
            </w:tcBorders>
          </w:tcPr>
          <w:p w:rsidR="008A29F1" w:rsidRPr="00E036A0" w:rsidRDefault="008A29F1" w:rsidP="000D30D1">
            <w:pPr>
              <w:jc w:val="center"/>
              <w:rPr>
                <w:b/>
              </w:rPr>
            </w:pPr>
            <w:r w:rsidRPr="00E036A0">
              <w:rPr>
                <w:b/>
              </w:rPr>
              <w:t>Modalità di valutazione</w:t>
            </w:r>
          </w:p>
        </w:tc>
        <w:tc>
          <w:tcPr>
            <w:tcW w:w="1196" w:type="dxa"/>
            <w:tcBorders>
              <w:bottom w:val="single" w:sz="4" w:space="0" w:color="auto"/>
            </w:tcBorders>
          </w:tcPr>
          <w:p w:rsidR="008A29F1" w:rsidRPr="00E036A0" w:rsidRDefault="008A29F1" w:rsidP="000D30D1">
            <w:pPr>
              <w:jc w:val="center"/>
              <w:rPr>
                <w:b/>
              </w:rPr>
            </w:pPr>
            <w:r w:rsidRPr="00E036A0">
              <w:rPr>
                <w:b/>
              </w:rPr>
              <w:t>punteggio</w:t>
            </w:r>
          </w:p>
        </w:tc>
      </w:tr>
      <w:tr w:rsidR="008A29F1" w:rsidRPr="00E036A0" w:rsidTr="000D30D1">
        <w:trPr>
          <w:trHeight w:val="1930"/>
        </w:trPr>
        <w:tc>
          <w:tcPr>
            <w:tcW w:w="1855" w:type="dxa"/>
            <w:shd w:val="clear" w:color="auto" w:fill="D9D9D9" w:themeFill="background1" w:themeFillShade="D9"/>
          </w:tcPr>
          <w:p w:rsidR="008A29F1" w:rsidRPr="00E036A0" w:rsidRDefault="008A29F1" w:rsidP="000D30D1">
            <w:r w:rsidRPr="00E036A0">
              <w:rPr>
                <w:rFonts w:cs="Calibri"/>
                <w:color w:val="000000"/>
              </w:rPr>
              <w:t>Valutazione del clima interno</w:t>
            </w:r>
          </w:p>
        </w:tc>
        <w:tc>
          <w:tcPr>
            <w:tcW w:w="3760" w:type="dxa"/>
            <w:shd w:val="clear" w:color="auto" w:fill="D9D9D9" w:themeFill="background1" w:themeFillShade="D9"/>
          </w:tcPr>
          <w:p w:rsidR="008A29F1" w:rsidRPr="00E036A0" w:rsidRDefault="008A29F1" w:rsidP="000D30D1">
            <w:pPr>
              <w:rPr>
                <w:rFonts w:cs="Calibri"/>
                <w:color w:val="000000"/>
              </w:rPr>
            </w:pPr>
            <w:r w:rsidRPr="00E036A0">
              <w:rPr>
                <w:rFonts w:cs="Calibri"/>
                <w:color w:val="000000"/>
              </w:rPr>
              <w:t xml:space="preserve">Comunicazione e condivisione degli obiettivi aziendale attraverso degli incontri tra Direttore generale e </w:t>
            </w:r>
            <w:r w:rsidRPr="00E036A0">
              <w:rPr>
                <w:rFonts w:cs="Calibri"/>
              </w:rPr>
              <w:t>personale</w:t>
            </w:r>
          </w:p>
        </w:tc>
        <w:tc>
          <w:tcPr>
            <w:tcW w:w="3043" w:type="dxa"/>
            <w:shd w:val="clear" w:color="auto" w:fill="D9D9D9" w:themeFill="background1" w:themeFillShade="D9"/>
          </w:tcPr>
          <w:p w:rsidR="008A29F1" w:rsidRPr="00E036A0" w:rsidRDefault="008A29F1" w:rsidP="000D30D1">
            <w:pPr>
              <w:jc w:val="center"/>
              <w:rPr>
                <w:color w:val="000000"/>
              </w:rPr>
            </w:pPr>
            <w:r w:rsidRPr="00E036A0">
              <w:rPr>
                <w:rFonts w:cs="Calibri"/>
                <w:color w:val="000000"/>
              </w:rPr>
              <w:t>L'obiettivo si intende raggiunto con l'evidenza dell'effettuazione  degli incontri entro il 31/12/2015</w:t>
            </w:r>
          </w:p>
        </w:tc>
        <w:tc>
          <w:tcPr>
            <w:tcW w:w="1196" w:type="dxa"/>
            <w:shd w:val="clear" w:color="auto" w:fill="D9D9D9" w:themeFill="background1" w:themeFillShade="D9"/>
          </w:tcPr>
          <w:p w:rsidR="008A29F1" w:rsidRPr="00E036A0" w:rsidRDefault="008A29F1" w:rsidP="000D30D1">
            <w:pPr>
              <w:jc w:val="center"/>
              <w:rPr>
                <w:color w:val="000000"/>
              </w:rPr>
            </w:pPr>
          </w:p>
          <w:p w:rsidR="008A29F1" w:rsidRPr="00E036A0" w:rsidRDefault="008A29F1" w:rsidP="000D30D1">
            <w:pPr>
              <w:jc w:val="center"/>
              <w:rPr>
                <w:color w:val="000000"/>
              </w:rPr>
            </w:pPr>
          </w:p>
          <w:p w:rsidR="008A29F1" w:rsidRPr="00E036A0" w:rsidRDefault="008A29F1" w:rsidP="000D30D1">
            <w:pPr>
              <w:jc w:val="center"/>
            </w:pPr>
            <w:r w:rsidRPr="00E036A0">
              <w:rPr>
                <w:rFonts w:cs="Calibri"/>
                <w:color w:val="000000"/>
              </w:rPr>
              <w:t>5,0%</w:t>
            </w:r>
          </w:p>
        </w:tc>
      </w:tr>
      <w:tr w:rsidR="008A29F1" w:rsidRPr="00E036A0" w:rsidTr="000D30D1">
        <w:trPr>
          <w:tblHeader/>
        </w:trPr>
        <w:tc>
          <w:tcPr>
            <w:tcW w:w="9854" w:type="dxa"/>
            <w:gridSpan w:val="4"/>
          </w:tcPr>
          <w:p w:rsidR="008A29F1" w:rsidRPr="00E036A0" w:rsidRDefault="008A29F1" w:rsidP="000D30D1">
            <w:pPr>
              <w:jc w:val="center"/>
              <w:rPr>
                <w:b/>
              </w:rPr>
            </w:pPr>
            <w:r w:rsidRPr="00E036A0">
              <w:rPr>
                <w:b/>
              </w:rPr>
              <w:t>risultato ottenuto al 31.12.2015</w:t>
            </w:r>
          </w:p>
        </w:tc>
      </w:tr>
      <w:tr w:rsidR="008A29F1" w:rsidRPr="00E036A0" w:rsidTr="000D30D1">
        <w:trPr>
          <w:trHeight w:val="1615"/>
          <w:tblHeader/>
        </w:trPr>
        <w:tc>
          <w:tcPr>
            <w:tcW w:w="9854" w:type="dxa"/>
            <w:gridSpan w:val="4"/>
          </w:tcPr>
          <w:p w:rsidR="008A29F1" w:rsidRPr="00E036A0" w:rsidRDefault="008A29F1" w:rsidP="000D30D1">
            <w:pPr>
              <w:jc w:val="both"/>
              <w:rPr>
                <w:rFonts w:cs="Calibri"/>
                <w:color w:val="000000"/>
              </w:rPr>
            </w:pPr>
            <w:r>
              <w:rPr>
                <w:rFonts w:cs="Calibri"/>
                <w:color w:val="000000"/>
              </w:rPr>
              <w:t>Gli incontri dipartimentali di negoziazione e revisione budget rappresentano il momento di comunicazione e diffusione degli obiettivi contenuti nel programma annuale e nel patto del DG. Nel corso del 2015 sono stati inoltre organizzati ulteriori incontri tra la direzione strategica, i direttori di dipartimento, SOC, SOSD, SOSI, le posizioni organizzative e i coordinatori:</w:t>
            </w:r>
          </w:p>
          <w:p w:rsidR="008A29F1" w:rsidRPr="006E795A" w:rsidRDefault="008A29F1" w:rsidP="008A29F1">
            <w:pPr>
              <w:pStyle w:val="Paragrafoelenco"/>
              <w:numPr>
                <w:ilvl w:val="0"/>
                <w:numId w:val="29"/>
              </w:numPr>
              <w:jc w:val="both"/>
              <w:rPr>
                <w:rFonts w:cs="Calibri"/>
                <w:color w:val="000000"/>
              </w:rPr>
            </w:pPr>
            <w:r w:rsidRPr="006E795A">
              <w:rPr>
                <w:rFonts w:cs="Calibri"/>
                <w:color w:val="000000"/>
              </w:rPr>
              <w:t>riunione in data 17.04: piano annuale 2015, consuntivo 2014 e atto aziendale</w:t>
            </w:r>
          </w:p>
          <w:p w:rsidR="008A29F1" w:rsidRPr="006E795A" w:rsidRDefault="008A29F1" w:rsidP="008A29F1">
            <w:pPr>
              <w:pStyle w:val="Paragrafoelenco"/>
              <w:numPr>
                <w:ilvl w:val="0"/>
                <w:numId w:val="29"/>
              </w:numPr>
              <w:jc w:val="both"/>
            </w:pPr>
            <w:r w:rsidRPr="006E795A">
              <w:rPr>
                <w:rFonts w:cs="Calibri"/>
                <w:color w:val="000000"/>
              </w:rPr>
              <w:t>riunione in data 10.09:</w:t>
            </w:r>
            <w:r>
              <w:rPr>
                <w:rFonts w:cs="Calibri"/>
                <w:color w:val="000000"/>
              </w:rPr>
              <w:t xml:space="preserve"> </w:t>
            </w:r>
            <w:r w:rsidRPr="006E795A">
              <w:rPr>
                <w:rFonts w:cs="Calibri"/>
                <w:color w:val="000000"/>
              </w:rPr>
              <w:t>valutazione raggiungimento obiettivi di budget assegnati alla Strutture Operative, valutazione raggiungimento obiettivi regionali, presentazioni di proposte di intervento per risolvere eventuali criticità relative agli obiettivi assegnati</w:t>
            </w:r>
          </w:p>
          <w:p w:rsidR="008A29F1" w:rsidRPr="006E795A" w:rsidRDefault="008A29F1" w:rsidP="008A29F1">
            <w:pPr>
              <w:pStyle w:val="Paragrafoelenco"/>
              <w:numPr>
                <w:ilvl w:val="0"/>
                <w:numId w:val="29"/>
              </w:numPr>
              <w:jc w:val="both"/>
            </w:pPr>
            <w:r>
              <w:rPr>
                <w:rFonts w:cs="Calibri"/>
                <w:color w:val="000000"/>
              </w:rPr>
              <w:t xml:space="preserve">riunione in data 11.11: presentazione proposta di atto aziendale </w:t>
            </w:r>
          </w:p>
        </w:tc>
      </w:tr>
    </w:tbl>
    <w:p w:rsidR="008A29F1" w:rsidRDefault="008A29F1" w:rsidP="008A29F1"/>
    <w:p w:rsidR="008A29F1" w:rsidRPr="008E70B1" w:rsidRDefault="008A29F1" w:rsidP="008A29F1">
      <w:pPr>
        <w:pStyle w:val="Paragrafoelenco"/>
        <w:numPr>
          <w:ilvl w:val="0"/>
          <w:numId w:val="10"/>
        </w:numPr>
        <w:tabs>
          <w:tab w:val="left" w:pos="2808"/>
          <w:tab w:val="left" w:pos="6354"/>
          <w:tab w:val="left" w:pos="7530"/>
        </w:tabs>
        <w:spacing w:after="0" w:line="240" w:lineRule="auto"/>
        <w:ind w:left="180" w:hanging="270"/>
        <w:rPr>
          <w:b/>
        </w:rPr>
      </w:pPr>
      <w:r w:rsidRPr="00E05DF1">
        <w:rPr>
          <w:b/>
        </w:rPr>
        <w:lastRenderedPageBreak/>
        <w:t>Clima esterno</w:t>
      </w:r>
    </w:p>
    <w:tbl>
      <w:tblPr>
        <w:tblStyle w:val="Grigliatabella"/>
        <w:tblW w:w="0" w:type="auto"/>
        <w:tblLook w:val="01E0"/>
      </w:tblPr>
      <w:tblGrid>
        <w:gridCol w:w="1905"/>
        <w:gridCol w:w="3693"/>
        <w:gridCol w:w="3093"/>
        <w:gridCol w:w="1163"/>
      </w:tblGrid>
      <w:tr w:rsidR="008A29F1" w:rsidRPr="00E036A0" w:rsidTr="000D30D1">
        <w:trPr>
          <w:tblHeader/>
        </w:trPr>
        <w:tc>
          <w:tcPr>
            <w:tcW w:w="1905" w:type="dxa"/>
            <w:tcBorders>
              <w:bottom w:val="single" w:sz="4" w:space="0" w:color="auto"/>
            </w:tcBorders>
          </w:tcPr>
          <w:p w:rsidR="008A29F1" w:rsidRPr="00E036A0" w:rsidRDefault="008A29F1" w:rsidP="000D30D1">
            <w:pPr>
              <w:jc w:val="center"/>
              <w:rPr>
                <w:b/>
              </w:rPr>
            </w:pPr>
            <w:r w:rsidRPr="00E036A0">
              <w:rPr>
                <w:b/>
              </w:rPr>
              <w:t>obiettivo aziendale</w:t>
            </w:r>
          </w:p>
        </w:tc>
        <w:tc>
          <w:tcPr>
            <w:tcW w:w="3693" w:type="dxa"/>
            <w:tcBorders>
              <w:bottom w:val="single" w:sz="4" w:space="0" w:color="auto"/>
            </w:tcBorders>
          </w:tcPr>
          <w:p w:rsidR="008A29F1" w:rsidRPr="00E036A0" w:rsidRDefault="008A29F1" w:rsidP="000D30D1">
            <w:pPr>
              <w:jc w:val="center"/>
              <w:rPr>
                <w:b/>
              </w:rPr>
            </w:pPr>
            <w:r w:rsidRPr="00E036A0">
              <w:rPr>
                <w:b/>
              </w:rPr>
              <w:t>risultato atteso</w:t>
            </w:r>
          </w:p>
        </w:tc>
        <w:tc>
          <w:tcPr>
            <w:tcW w:w="3093" w:type="dxa"/>
            <w:tcBorders>
              <w:bottom w:val="single" w:sz="4" w:space="0" w:color="auto"/>
            </w:tcBorders>
          </w:tcPr>
          <w:p w:rsidR="008A29F1" w:rsidRPr="00E036A0" w:rsidRDefault="008A29F1" w:rsidP="000D30D1">
            <w:pPr>
              <w:jc w:val="center"/>
              <w:rPr>
                <w:b/>
              </w:rPr>
            </w:pPr>
            <w:r w:rsidRPr="00E036A0">
              <w:rPr>
                <w:b/>
              </w:rPr>
              <w:t>Modalità di valutazione</w:t>
            </w:r>
          </w:p>
        </w:tc>
        <w:tc>
          <w:tcPr>
            <w:tcW w:w="1163" w:type="dxa"/>
            <w:tcBorders>
              <w:bottom w:val="single" w:sz="4" w:space="0" w:color="auto"/>
            </w:tcBorders>
          </w:tcPr>
          <w:p w:rsidR="008A29F1" w:rsidRPr="00E036A0" w:rsidRDefault="008A29F1" w:rsidP="000D30D1">
            <w:pPr>
              <w:jc w:val="center"/>
              <w:rPr>
                <w:b/>
              </w:rPr>
            </w:pPr>
            <w:r w:rsidRPr="00E036A0">
              <w:rPr>
                <w:b/>
              </w:rPr>
              <w:t>punteggio</w:t>
            </w:r>
          </w:p>
        </w:tc>
      </w:tr>
      <w:tr w:rsidR="008A29F1" w:rsidRPr="00E036A0" w:rsidTr="000D30D1">
        <w:trPr>
          <w:trHeight w:val="434"/>
        </w:trPr>
        <w:tc>
          <w:tcPr>
            <w:tcW w:w="1905" w:type="dxa"/>
            <w:shd w:val="clear" w:color="auto" w:fill="D9D9D9" w:themeFill="background1" w:themeFillShade="D9"/>
          </w:tcPr>
          <w:p w:rsidR="008A29F1" w:rsidRPr="00E036A0" w:rsidRDefault="008A29F1" w:rsidP="000D30D1">
            <w:r w:rsidRPr="00E036A0">
              <w:rPr>
                <w:rFonts w:cs="Calibri"/>
                <w:color w:val="000000"/>
              </w:rPr>
              <w:t>Valutazione del clima esterno: esperienza riferita dal paziente</w:t>
            </w:r>
          </w:p>
        </w:tc>
        <w:tc>
          <w:tcPr>
            <w:tcW w:w="3693" w:type="dxa"/>
            <w:shd w:val="clear" w:color="auto" w:fill="D9D9D9" w:themeFill="background1" w:themeFillShade="D9"/>
          </w:tcPr>
          <w:p w:rsidR="008A29F1" w:rsidRPr="00E036A0" w:rsidRDefault="008A29F1" w:rsidP="000D30D1">
            <w:pPr>
              <w:jc w:val="both"/>
            </w:pPr>
            <w:r w:rsidRPr="00E036A0">
              <w:rPr>
                <w:rFonts w:cs="Calibri"/>
                <w:color w:val="000000"/>
              </w:rPr>
              <w:t>Raccolta dei consensi informati ai pazienti dimessi per l'autorizzazione all'intervista telefonica, con informazione agli stessi delle finalità della valutazione</w:t>
            </w:r>
          </w:p>
        </w:tc>
        <w:tc>
          <w:tcPr>
            <w:tcW w:w="3093" w:type="dxa"/>
            <w:shd w:val="clear" w:color="auto" w:fill="D9D9D9" w:themeFill="background1" w:themeFillShade="D9"/>
          </w:tcPr>
          <w:p w:rsidR="008A29F1" w:rsidRPr="00E036A0" w:rsidRDefault="008A29F1" w:rsidP="000D30D1">
            <w:pPr>
              <w:jc w:val="center"/>
              <w:rPr>
                <w:color w:val="000000"/>
              </w:rPr>
            </w:pPr>
            <w:r w:rsidRPr="00E036A0">
              <w:rPr>
                <w:rFonts w:cs="Calibri"/>
                <w:color w:val="000000"/>
              </w:rPr>
              <w:t>Adesioni all'intervista telefonica raccolte entro il 31.12.2015 rispetto al numero dei pazienti dimessi.</w:t>
            </w:r>
            <w:r w:rsidRPr="00E036A0">
              <w:rPr>
                <w:rFonts w:cs="Calibri"/>
                <w:color w:val="000000"/>
              </w:rPr>
              <w:br/>
              <w:t>- CRO: 201 adesioni</w:t>
            </w:r>
            <w:r w:rsidRPr="00E036A0">
              <w:rPr>
                <w:rFonts w:cs="Calibri"/>
                <w:color w:val="000000"/>
              </w:rPr>
              <w:br/>
            </w:r>
            <w:r w:rsidRPr="00E036A0">
              <w:rPr>
                <w:rFonts w:cs="Calibri"/>
                <w:color w:val="000000"/>
              </w:rPr>
              <w:br/>
              <w:t>sono esclusi dal conteggio: ricoveri nei reparti di cardiochirurgia pediatrica, nido, cure palliative/</w:t>
            </w:r>
            <w:proofErr w:type="spellStart"/>
            <w:r w:rsidRPr="00E036A0">
              <w:rPr>
                <w:rFonts w:cs="Calibri"/>
                <w:color w:val="000000"/>
              </w:rPr>
              <w:t>hospice</w:t>
            </w:r>
            <w:proofErr w:type="spellEnd"/>
            <w:r w:rsidRPr="00E036A0">
              <w:rPr>
                <w:rFonts w:cs="Calibri"/>
                <w:color w:val="000000"/>
              </w:rPr>
              <w:t>, grandi ustioni pediatriche, grandi ustioni, terapie intensive e terapia intensiva neonatale.</w:t>
            </w:r>
            <w:r w:rsidRPr="00E036A0">
              <w:rPr>
                <w:rFonts w:cs="Calibri"/>
                <w:color w:val="000000"/>
              </w:rPr>
              <w:br/>
              <w:t>Sono inoltre esclusi i ricoveri con esito deceduto.</w:t>
            </w:r>
          </w:p>
        </w:tc>
        <w:tc>
          <w:tcPr>
            <w:tcW w:w="1163" w:type="dxa"/>
            <w:shd w:val="clear" w:color="auto" w:fill="D9D9D9" w:themeFill="background1" w:themeFillShade="D9"/>
          </w:tcPr>
          <w:p w:rsidR="008A29F1" w:rsidRPr="00E036A0" w:rsidRDefault="008A29F1" w:rsidP="000D30D1">
            <w:pPr>
              <w:jc w:val="center"/>
              <w:rPr>
                <w:color w:val="000000"/>
              </w:rPr>
            </w:pPr>
          </w:p>
          <w:p w:rsidR="008A29F1" w:rsidRPr="00E036A0" w:rsidRDefault="008A29F1" w:rsidP="000D30D1">
            <w:pPr>
              <w:jc w:val="center"/>
              <w:rPr>
                <w:color w:val="000000"/>
              </w:rPr>
            </w:pPr>
            <w:r w:rsidRPr="00E036A0">
              <w:rPr>
                <w:color w:val="000000"/>
              </w:rPr>
              <w:t>5%</w:t>
            </w:r>
          </w:p>
          <w:p w:rsidR="008A29F1" w:rsidRPr="00E036A0" w:rsidRDefault="008A29F1" w:rsidP="000D30D1">
            <w:pPr>
              <w:jc w:val="center"/>
            </w:pPr>
          </w:p>
        </w:tc>
      </w:tr>
      <w:tr w:rsidR="008A29F1" w:rsidRPr="00E036A0" w:rsidTr="000D30D1">
        <w:trPr>
          <w:tblHeader/>
        </w:trPr>
        <w:tc>
          <w:tcPr>
            <w:tcW w:w="9854" w:type="dxa"/>
            <w:gridSpan w:val="4"/>
          </w:tcPr>
          <w:p w:rsidR="008A29F1" w:rsidRPr="00E036A0" w:rsidRDefault="008A29F1" w:rsidP="000D30D1">
            <w:pPr>
              <w:jc w:val="center"/>
              <w:rPr>
                <w:b/>
                <w:highlight w:val="red"/>
              </w:rPr>
            </w:pPr>
            <w:r w:rsidRPr="00E036A0">
              <w:rPr>
                <w:b/>
              </w:rPr>
              <w:t>risultato ottenuto al 31.12.2015</w:t>
            </w:r>
          </w:p>
        </w:tc>
      </w:tr>
      <w:tr w:rsidR="008A29F1" w:rsidRPr="00E036A0" w:rsidTr="000D30D1">
        <w:trPr>
          <w:tblHeader/>
        </w:trPr>
        <w:tc>
          <w:tcPr>
            <w:tcW w:w="9854" w:type="dxa"/>
            <w:gridSpan w:val="4"/>
          </w:tcPr>
          <w:p w:rsidR="008A29F1" w:rsidRPr="00E036A0" w:rsidRDefault="008A29F1" w:rsidP="000D30D1">
            <w:pPr>
              <w:jc w:val="both"/>
            </w:pPr>
            <w:r w:rsidRPr="00E036A0">
              <w:t>201 adesioni raccolte</w:t>
            </w:r>
          </w:p>
        </w:tc>
      </w:tr>
    </w:tbl>
    <w:p w:rsidR="005C0A33" w:rsidRPr="008E70B1" w:rsidRDefault="005C0A33" w:rsidP="005C0A33">
      <w:pPr>
        <w:rPr>
          <w:b/>
        </w:rPr>
      </w:pPr>
    </w:p>
    <w:p w:rsidR="00AE29E7" w:rsidRDefault="00AE29E7">
      <w:pPr>
        <w:rPr>
          <w:rFonts w:ascii="Calibri" w:hAnsi="Calibri"/>
        </w:rPr>
      </w:pPr>
      <w:r>
        <w:rPr>
          <w:rFonts w:ascii="Calibri" w:hAnsi="Calibri"/>
        </w:rPr>
        <w:br w:type="page"/>
      </w:r>
    </w:p>
    <w:p w:rsidR="008249A1" w:rsidRDefault="008249A1" w:rsidP="007A0D39">
      <w:pPr>
        <w:pStyle w:val="Paragrafoelenco"/>
        <w:spacing w:after="120" w:line="240" w:lineRule="auto"/>
        <w:jc w:val="both"/>
        <w:rPr>
          <w:rFonts w:cs="Times New Roman"/>
          <w:b/>
        </w:rPr>
      </w:pPr>
    </w:p>
    <w:p w:rsidR="004F1414" w:rsidRPr="000D30D1" w:rsidRDefault="004F1414" w:rsidP="007A0D39">
      <w:pPr>
        <w:pStyle w:val="Paragrafoelenco"/>
        <w:spacing w:after="120" w:line="240" w:lineRule="auto"/>
        <w:jc w:val="both"/>
        <w:rPr>
          <w:rFonts w:ascii="Calibri" w:hAnsi="Calibri"/>
          <w:b/>
        </w:rPr>
      </w:pPr>
      <w:r w:rsidRPr="000D30D1">
        <w:rPr>
          <w:rFonts w:cs="Times New Roman"/>
          <w:b/>
        </w:rPr>
        <w:t>Indicatori</w:t>
      </w:r>
      <w:r w:rsidRPr="000D30D1">
        <w:rPr>
          <w:rFonts w:ascii="Calibri" w:hAnsi="Calibri"/>
          <w:b/>
        </w:rPr>
        <w:t xml:space="preserve"> LEA</w:t>
      </w:r>
    </w:p>
    <w:p w:rsidR="00D9662C" w:rsidRDefault="00C14FE3" w:rsidP="0030123A">
      <w:pPr>
        <w:autoSpaceDE w:val="0"/>
        <w:autoSpaceDN w:val="0"/>
        <w:adjustRightInd w:val="0"/>
        <w:rPr>
          <w:rFonts w:cs="Times New Roman"/>
          <w:b/>
        </w:rPr>
      </w:pPr>
      <w:r>
        <w:rPr>
          <w:rFonts w:cs="Times New Roman"/>
          <w:b/>
          <w:noProof/>
          <w:lang w:eastAsia="it-IT"/>
        </w:rPr>
        <w:drawing>
          <wp:inline distT="0" distB="0" distL="0" distR="0">
            <wp:extent cx="6115050" cy="1885950"/>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115050" cy="1885950"/>
                    </a:xfrm>
                    <a:prstGeom prst="rect">
                      <a:avLst/>
                    </a:prstGeom>
                    <a:noFill/>
                    <a:ln w="9525">
                      <a:noFill/>
                      <a:miter lim="800000"/>
                      <a:headEnd/>
                      <a:tailEnd/>
                    </a:ln>
                  </pic:spPr>
                </pic:pic>
              </a:graphicData>
            </a:graphic>
          </wp:inline>
        </w:drawing>
      </w:r>
    </w:p>
    <w:p w:rsidR="00D9662C" w:rsidRPr="00850B0B" w:rsidRDefault="00D9662C" w:rsidP="00850B0B">
      <w:pPr>
        <w:autoSpaceDE w:val="0"/>
        <w:autoSpaceDN w:val="0"/>
        <w:adjustRightInd w:val="0"/>
        <w:rPr>
          <w:rFonts w:cs="Times New Roman"/>
          <w:b/>
        </w:rPr>
      </w:pPr>
    </w:p>
    <w:p w:rsidR="0030123A" w:rsidRPr="00850B0B" w:rsidRDefault="0062493F" w:rsidP="007A0D39">
      <w:pPr>
        <w:pStyle w:val="Paragrafoelenco"/>
        <w:numPr>
          <w:ilvl w:val="0"/>
          <w:numId w:val="30"/>
        </w:numPr>
        <w:spacing w:after="120" w:line="240" w:lineRule="auto"/>
        <w:jc w:val="both"/>
        <w:rPr>
          <w:rFonts w:cs="Times New Roman"/>
          <w:b/>
        </w:rPr>
      </w:pPr>
      <w:r w:rsidRPr="00850B0B">
        <w:rPr>
          <w:rFonts w:cs="Times New Roman"/>
          <w:b/>
        </w:rPr>
        <w:t>Attività di ricovero</w:t>
      </w:r>
    </w:p>
    <w:p w:rsidR="00850B0B" w:rsidRPr="00850B0B" w:rsidRDefault="00850B0B" w:rsidP="00850B0B">
      <w:pPr>
        <w:pStyle w:val="Paragrafoelenco"/>
        <w:autoSpaceDE w:val="0"/>
        <w:autoSpaceDN w:val="0"/>
        <w:adjustRightInd w:val="0"/>
        <w:ind w:left="0"/>
        <w:jc w:val="both"/>
        <w:rPr>
          <w:sz w:val="24"/>
          <w:szCs w:val="24"/>
        </w:rPr>
      </w:pPr>
      <w:r w:rsidRPr="00850B0B">
        <w:rPr>
          <w:sz w:val="24"/>
          <w:szCs w:val="24"/>
        </w:rPr>
        <w:t>L’attività di ricovero ordinario registra un incremento del numero di ricoveri (+1,30%) rispetto al 2014, con particolare riferimento a quelli chirurgici. Il valore tariffato e la complessità della casistica trattata non evidenziano variazioni significative.</w:t>
      </w:r>
    </w:p>
    <w:p w:rsidR="00850B0B" w:rsidRPr="00850B0B" w:rsidRDefault="00850B0B" w:rsidP="00850B0B">
      <w:pPr>
        <w:pStyle w:val="Paragrafoelenco"/>
        <w:autoSpaceDE w:val="0"/>
        <w:autoSpaceDN w:val="0"/>
        <w:adjustRightInd w:val="0"/>
        <w:ind w:left="0"/>
        <w:jc w:val="both"/>
        <w:rPr>
          <w:sz w:val="24"/>
          <w:szCs w:val="24"/>
        </w:rPr>
      </w:pPr>
      <w:r w:rsidRPr="00850B0B">
        <w:rPr>
          <w:sz w:val="24"/>
          <w:szCs w:val="24"/>
        </w:rPr>
        <w:t xml:space="preserve">L’attività in regime di </w:t>
      </w:r>
      <w:proofErr w:type="spellStart"/>
      <w:r w:rsidRPr="00850B0B">
        <w:rPr>
          <w:sz w:val="24"/>
          <w:szCs w:val="24"/>
        </w:rPr>
        <w:t>day</w:t>
      </w:r>
      <w:proofErr w:type="spellEnd"/>
      <w:r w:rsidRPr="00850B0B">
        <w:rPr>
          <w:sz w:val="24"/>
          <w:szCs w:val="24"/>
        </w:rPr>
        <w:t xml:space="preserve"> hospital è stata invece caratterizzata, in continuità con il 2014, da un progressivo trasferimento del </w:t>
      </w:r>
      <w:proofErr w:type="spellStart"/>
      <w:r w:rsidRPr="00850B0B">
        <w:rPr>
          <w:sz w:val="24"/>
          <w:szCs w:val="24"/>
        </w:rPr>
        <w:t>day</w:t>
      </w:r>
      <w:proofErr w:type="spellEnd"/>
      <w:r w:rsidRPr="00850B0B">
        <w:rPr>
          <w:sz w:val="24"/>
          <w:szCs w:val="24"/>
        </w:rPr>
        <w:t xml:space="preserve"> hospital medico verso un più appropriato </w:t>
      </w:r>
      <w:proofErr w:type="spellStart"/>
      <w:r w:rsidRPr="00850B0B">
        <w:rPr>
          <w:sz w:val="24"/>
          <w:szCs w:val="24"/>
        </w:rPr>
        <w:t>setting</w:t>
      </w:r>
      <w:proofErr w:type="spellEnd"/>
      <w:r w:rsidRPr="00850B0B">
        <w:rPr>
          <w:sz w:val="24"/>
          <w:szCs w:val="24"/>
        </w:rPr>
        <w:t xml:space="preserve"> assistenziale, con conseguente contrazione sia del numero di ricoveri ciclici medici (-10,02%) sia di quelli di 1 giorno (-87,7%). </w:t>
      </w:r>
    </w:p>
    <w:p w:rsidR="00850B0B" w:rsidRPr="00850B0B" w:rsidRDefault="00850B0B" w:rsidP="00850B0B">
      <w:pPr>
        <w:pStyle w:val="Paragrafoelenco"/>
        <w:autoSpaceDE w:val="0"/>
        <w:autoSpaceDN w:val="0"/>
        <w:adjustRightInd w:val="0"/>
        <w:ind w:left="0"/>
        <w:jc w:val="both"/>
        <w:rPr>
          <w:sz w:val="24"/>
          <w:szCs w:val="24"/>
        </w:rPr>
      </w:pPr>
      <w:r w:rsidRPr="00850B0B">
        <w:rPr>
          <w:sz w:val="24"/>
          <w:szCs w:val="24"/>
        </w:rPr>
        <w:t>L’Istituto è riuscito comunque a mantenere complessivamente una buona attrazione extra-regionale (50%).</w:t>
      </w:r>
    </w:p>
    <w:tbl>
      <w:tblPr>
        <w:tblW w:w="7324" w:type="dxa"/>
        <w:jc w:val="center"/>
        <w:tblCellMar>
          <w:left w:w="70" w:type="dxa"/>
          <w:right w:w="70" w:type="dxa"/>
        </w:tblCellMar>
        <w:tblLook w:val="04A0"/>
      </w:tblPr>
      <w:tblGrid>
        <w:gridCol w:w="2880"/>
        <w:gridCol w:w="1180"/>
        <w:gridCol w:w="1180"/>
        <w:gridCol w:w="1024"/>
        <w:gridCol w:w="1060"/>
      </w:tblGrid>
      <w:tr w:rsidR="00850B0B" w:rsidRPr="00AE59EE" w:rsidTr="00850B0B">
        <w:trPr>
          <w:trHeight w:val="315"/>
          <w:jc w:val="center"/>
        </w:trPr>
        <w:tc>
          <w:tcPr>
            <w:tcW w:w="7324" w:type="dxa"/>
            <w:gridSpan w:val="5"/>
            <w:tcBorders>
              <w:top w:val="single" w:sz="8" w:space="0" w:color="0070C0"/>
              <w:left w:val="single" w:sz="8" w:space="0" w:color="0070C0"/>
              <w:bottom w:val="single" w:sz="8" w:space="0" w:color="0070C0"/>
              <w:right w:val="single" w:sz="8" w:space="0" w:color="0070C0"/>
            </w:tcBorders>
            <w:shd w:val="clear" w:color="000000" w:fill="C6D9F1"/>
            <w:vAlign w:val="bottom"/>
            <w:hideMark/>
          </w:tcPr>
          <w:p w:rsidR="00850B0B" w:rsidRPr="00AE59EE" w:rsidRDefault="00850B0B" w:rsidP="00850B0B">
            <w:pPr>
              <w:jc w:val="center"/>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Numero dimessi</w:t>
            </w:r>
          </w:p>
        </w:tc>
      </w:tr>
      <w:tr w:rsidR="00850B0B" w:rsidRPr="00AE59EE" w:rsidTr="00850B0B">
        <w:trPr>
          <w:trHeight w:val="315"/>
          <w:jc w:val="center"/>
        </w:trPr>
        <w:tc>
          <w:tcPr>
            <w:tcW w:w="2880" w:type="dxa"/>
            <w:tcBorders>
              <w:top w:val="nil"/>
              <w:left w:val="single" w:sz="8" w:space="0" w:color="0070C0"/>
              <w:bottom w:val="single" w:sz="8" w:space="0" w:color="0070C0"/>
              <w:right w:val="single" w:sz="8" w:space="0" w:color="0070C0"/>
            </w:tcBorders>
            <w:shd w:val="clear" w:color="000000" w:fill="C6D9F1"/>
            <w:vAlign w:val="bottom"/>
            <w:hideMark/>
          </w:tcPr>
          <w:p w:rsidR="00850B0B" w:rsidRPr="00AE59EE" w:rsidRDefault="00850B0B" w:rsidP="00850B0B">
            <w:pPr>
              <w:jc w:val="center"/>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per regime di ricovero</w:t>
            </w:r>
          </w:p>
        </w:tc>
        <w:tc>
          <w:tcPr>
            <w:tcW w:w="1180" w:type="dxa"/>
            <w:tcBorders>
              <w:top w:val="nil"/>
              <w:left w:val="nil"/>
              <w:bottom w:val="single" w:sz="8" w:space="0" w:color="0070C0"/>
              <w:right w:val="single" w:sz="8" w:space="0" w:color="0070C0"/>
            </w:tcBorders>
            <w:shd w:val="clear" w:color="000000" w:fill="C6D9F1"/>
            <w:vAlign w:val="bottom"/>
            <w:hideMark/>
          </w:tcPr>
          <w:p w:rsidR="00850B0B" w:rsidRPr="00AE59EE" w:rsidRDefault="00850B0B" w:rsidP="00850B0B">
            <w:pPr>
              <w:jc w:val="center"/>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2014</w:t>
            </w:r>
          </w:p>
        </w:tc>
        <w:tc>
          <w:tcPr>
            <w:tcW w:w="1180" w:type="dxa"/>
            <w:tcBorders>
              <w:top w:val="nil"/>
              <w:left w:val="nil"/>
              <w:bottom w:val="single" w:sz="8" w:space="0" w:color="0070C0"/>
              <w:right w:val="single" w:sz="8" w:space="0" w:color="0070C0"/>
            </w:tcBorders>
            <w:shd w:val="clear" w:color="000000" w:fill="C6D9F1"/>
            <w:vAlign w:val="bottom"/>
            <w:hideMark/>
          </w:tcPr>
          <w:p w:rsidR="00850B0B" w:rsidRPr="00AE59EE" w:rsidRDefault="00850B0B" w:rsidP="00850B0B">
            <w:pPr>
              <w:jc w:val="center"/>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2015</w:t>
            </w:r>
          </w:p>
        </w:tc>
        <w:tc>
          <w:tcPr>
            <w:tcW w:w="1024" w:type="dxa"/>
            <w:tcBorders>
              <w:top w:val="nil"/>
              <w:left w:val="nil"/>
              <w:bottom w:val="single" w:sz="8" w:space="0" w:color="0070C0"/>
              <w:right w:val="single" w:sz="8" w:space="0" w:color="0070C0"/>
            </w:tcBorders>
            <w:shd w:val="clear" w:color="000000" w:fill="FFFFFF"/>
            <w:vAlign w:val="bottom"/>
            <w:hideMark/>
          </w:tcPr>
          <w:p w:rsidR="00850B0B" w:rsidRPr="00AE59EE" w:rsidRDefault="00850B0B" w:rsidP="00850B0B">
            <w:pPr>
              <w:jc w:val="center"/>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Var.</w:t>
            </w:r>
          </w:p>
        </w:tc>
        <w:tc>
          <w:tcPr>
            <w:tcW w:w="1060" w:type="dxa"/>
            <w:tcBorders>
              <w:top w:val="nil"/>
              <w:left w:val="nil"/>
              <w:bottom w:val="single" w:sz="8" w:space="0" w:color="0070C0"/>
              <w:right w:val="single" w:sz="8" w:space="0" w:color="0070C0"/>
            </w:tcBorders>
            <w:shd w:val="clear" w:color="000000" w:fill="FFFFFF"/>
            <w:vAlign w:val="bottom"/>
            <w:hideMark/>
          </w:tcPr>
          <w:p w:rsidR="00850B0B" w:rsidRPr="00AE59EE" w:rsidRDefault="00850B0B" w:rsidP="00850B0B">
            <w:pPr>
              <w:jc w:val="center"/>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Var. %</w:t>
            </w:r>
          </w:p>
        </w:tc>
      </w:tr>
      <w:tr w:rsidR="00850B0B" w:rsidRPr="00AE59EE" w:rsidTr="00850B0B">
        <w:trPr>
          <w:trHeight w:val="315"/>
          <w:jc w:val="center"/>
        </w:trPr>
        <w:tc>
          <w:tcPr>
            <w:tcW w:w="2880" w:type="dxa"/>
            <w:tcBorders>
              <w:top w:val="nil"/>
              <w:left w:val="single" w:sz="8" w:space="0" w:color="0070C0"/>
              <w:bottom w:val="single" w:sz="8" w:space="0" w:color="0070C0"/>
              <w:right w:val="single" w:sz="8" w:space="0" w:color="0070C0"/>
            </w:tcBorders>
            <w:shd w:val="clear" w:color="auto" w:fill="auto"/>
            <w:vAlign w:val="bottom"/>
            <w:hideMark/>
          </w:tcPr>
          <w:p w:rsidR="00850B0B" w:rsidRPr="00AE59EE" w:rsidRDefault="00850B0B" w:rsidP="00850B0B">
            <w:pPr>
              <w:jc w:val="center"/>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000000"/>
                <w:sz w:val="20"/>
                <w:szCs w:val="20"/>
                <w:lang w:eastAsia="it-IT"/>
              </w:rPr>
              <w:t>Ordinari</w:t>
            </w:r>
          </w:p>
        </w:tc>
        <w:tc>
          <w:tcPr>
            <w:tcW w:w="1180"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center"/>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000000"/>
                <w:sz w:val="20"/>
                <w:szCs w:val="20"/>
                <w:lang w:eastAsia="it-IT"/>
              </w:rPr>
              <w:t>3.962</w:t>
            </w:r>
          </w:p>
        </w:tc>
        <w:tc>
          <w:tcPr>
            <w:tcW w:w="1180"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center"/>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000000"/>
                <w:sz w:val="20"/>
                <w:szCs w:val="20"/>
                <w:lang w:eastAsia="it-IT"/>
              </w:rPr>
              <w:t>4.013</w:t>
            </w:r>
          </w:p>
        </w:tc>
        <w:tc>
          <w:tcPr>
            <w:tcW w:w="1024"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center"/>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000000"/>
                <w:sz w:val="20"/>
                <w:szCs w:val="20"/>
                <w:lang w:eastAsia="it-IT"/>
              </w:rPr>
              <w:t>51</w:t>
            </w:r>
          </w:p>
        </w:tc>
        <w:tc>
          <w:tcPr>
            <w:tcW w:w="1060"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center"/>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000000"/>
                <w:sz w:val="20"/>
                <w:szCs w:val="20"/>
                <w:lang w:eastAsia="it-IT"/>
              </w:rPr>
              <w:t>1,30%</w:t>
            </w:r>
          </w:p>
        </w:tc>
      </w:tr>
      <w:tr w:rsidR="00850B0B" w:rsidRPr="00AE59EE" w:rsidTr="00850B0B">
        <w:trPr>
          <w:trHeight w:val="315"/>
          <w:jc w:val="center"/>
        </w:trPr>
        <w:tc>
          <w:tcPr>
            <w:tcW w:w="2880" w:type="dxa"/>
            <w:tcBorders>
              <w:top w:val="nil"/>
              <w:left w:val="single" w:sz="8" w:space="0" w:color="0070C0"/>
              <w:bottom w:val="single" w:sz="8" w:space="0" w:color="0070C0"/>
              <w:right w:val="single" w:sz="8" w:space="0" w:color="0070C0"/>
            </w:tcBorders>
            <w:shd w:val="clear" w:color="auto" w:fill="auto"/>
            <w:vAlign w:val="bottom"/>
            <w:hideMark/>
          </w:tcPr>
          <w:p w:rsidR="00850B0B" w:rsidRPr="00AE59EE" w:rsidRDefault="00850B0B" w:rsidP="00850B0B">
            <w:pPr>
              <w:jc w:val="center"/>
              <w:rPr>
                <w:rFonts w:ascii="Times New Roman" w:eastAsia="Times New Roman" w:hAnsi="Times New Roman" w:cs="Times New Roman"/>
                <w:color w:val="000000"/>
                <w:sz w:val="20"/>
                <w:szCs w:val="20"/>
                <w:lang w:eastAsia="it-IT"/>
              </w:rPr>
            </w:pPr>
            <w:proofErr w:type="spellStart"/>
            <w:r w:rsidRPr="00AE59EE">
              <w:rPr>
                <w:rFonts w:ascii="Times New Roman" w:eastAsia="Times New Roman" w:hAnsi="Times New Roman" w:cs="Times New Roman"/>
                <w:color w:val="000000"/>
                <w:sz w:val="20"/>
                <w:szCs w:val="20"/>
                <w:lang w:eastAsia="it-IT"/>
              </w:rPr>
              <w:t>Day</w:t>
            </w:r>
            <w:proofErr w:type="spellEnd"/>
            <w:r w:rsidRPr="00AE59EE">
              <w:rPr>
                <w:rFonts w:ascii="Times New Roman" w:eastAsia="Times New Roman" w:hAnsi="Times New Roman" w:cs="Times New Roman"/>
                <w:color w:val="000000"/>
                <w:sz w:val="20"/>
                <w:szCs w:val="20"/>
                <w:lang w:eastAsia="it-IT"/>
              </w:rPr>
              <w:t xml:space="preserve"> hospital</w:t>
            </w:r>
          </w:p>
        </w:tc>
        <w:tc>
          <w:tcPr>
            <w:tcW w:w="1180"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center"/>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000000"/>
                <w:sz w:val="20"/>
                <w:szCs w:val="20"/>
                <w:lang w:eastAsia="it-IT"/>
              </w:rPr>
              <w:t>3.430</w:t>
            </w:r>
          </w:p>
        </w:tc>
        <w:tc>
          <w:tcPr>
            <w:tcW w:w="1180"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center"/>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000000"/>
                <w:sz w:val="20"/>
                <w:szCs w:val="20"/>
                <w:lang w:eastAsia="it-IT"/>
              </w:rPr>
              <w:t>2.807</w:t>
            </w:r>
          </w:p>
        </w:tc>
        <w:tc>
          <w:tcPr>
            <w:tcW w:w="1024"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center"/>
              <w:rPr>
                <w:rFonts w:ascii="Times New Roman" w:eastAsia="Times New Roman" w:hAnsi="Times New Roman" w:cs="Times New Roman"/>
                <w:color w:val="FF0000"/>
                <w:sz w:val="20"/>
                <w:szCs w:val="20"/>
                <w:lang w:eastAsia="it-IT"/>
              </w:rPr>
            </w:pPr>
            <w:r w:rsidRPr="00AE59EE">
              <w:rPr>
                <w:rFonts w:ascii="Times New Roman" w:eastAsia="Times New Roman" w:hAnsi="Times New Roman" w:cs="Times New Roman"/>
                <w:color w:val="FF0000"/>
                <w:sz w:val="20"/>
                <w:szCs w:val="20"/>
                <w:lang w:eastAsia="it-IT"/>
              </w:rPr>
              <w:t>-623</w:t>
            </w:r>
          </w:p>
        </w:tc>
        <w:tc>
          <w:tcPr>
            <w:tcW w:w="1060"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center"/>
              <w:rPr>
                <w:rFonts w:ascii="Times New Roman" w:eastAsia="Times New Roman" w:hAnsi="Times New Roman" w:cs="Times New Roman"/>
                <w:color w:val="FF0000"/>
                <w:sz w:val="20"/>
                <w:szCs w:val="20"/>
                <w:lang w:eastAsia="it-IT"/>
              </w:rPr>
            </w:pPr>
            <w:r w:rsidRPr="00AE59EE">
              <w:rPr>
                <w:rFonts w:ascii="Times New Roman" w:eastAsia="Times New Roman" w:hAnsi="Times New Roman" w:cs="Times New Roman"/>
                <w:color w:val="FF0000"/>
                <w:sz w:val="20"/>
                <w:szCs w:val="20"/>
                <w:lang w:eastAsia="it-IT"/>
              </w:rPr>
              <w:t>-18,02%</w:t>
            </w:r>
          </w:p>
        </w:tc>
      </w:tr>
      <w:tr w:rsidR="00850B0B" w:rsidRPr="00AE59EE" w:rsidTr="00850B0B">
        <w:trPr>
          <w:trHeight w:val="315"/>
          <w:jc w:val="center"/>
        </w:trPr>
        <w:tc>
          <w:tcPr>
            <w:tcW w:w="2880" w:type="dxa"/>
            <w:tcBorders>
              <w:top w:val="nil"/>
              <w:left w:val="single" w:sz="8" w:space="0" w:color="0070C0"/>
              <w:bottom w:val="single" w:sz="8" w:space="0" w:color="0070C0"/>
              <w:right w:val="single" w:sz="8" w:space="0" w:color="0070C0"/>
            </w:tcBorders>
            <w:shd w:val="clear" w:color="000000" w:fill="C6D9F1"/>
            <w:vAlign w:val="bottom"/>
            <w:hideMark/>
          </w:tcPr>
          <w:p w:rsidR="00850B0B" w:rsidRPr="00AE59EE" w:rsidRDefault="00850B0B" w:rsidP="00850B0B">
            <w:pPr>
              <w:jc w:val="center"/>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TOTALI</w:t>
            </w:r>
          </w:p>
        </w:tc>
        <w:tc>
          <w:tcPr>
            <w:tcW w:w="1180" w:type="dxa"/>
            <w:tcBorders>
              <w:top w:val="nil"/>
              <w:left w:val="nil"/>
              <w:bottom w:val="single" w:sz="8" w:space="0" w:color="0070C0"/>
              <w:right w:val="single" w:sz="8" w:space="0" w:color="0070C0"/>
            </w:tcBorders>
            <w:shd w:val="clear" w:color="000000" w:fill="C6D9F1"/>
            <w:vAlign w:val="bottom"/>
            <w:hideMark/>
          </w:tcPr>
          <w:p w:rsidR="00850B0B" w:rsidRPr="00AE59EE" w:rsidRDefault="00850B0B" w:rsidP="00850B0B">
            <w:pPr>
              <w:jc w:val="center"/>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7.392</w:t>
            </w:r>
          </w:p>
        </w:tc>
        <w:tc>
          <w:tcPr>
            <w:tcW w:w="1180" w:type="dxa"/>
            <w:tcBorders>
              <w:top w:val="nil"/>
              <w:left w:val="nil"/>
              <w:bottom w:val="single" w:sz="8" w:space="0" w:color="0070C0"/>
              <w:right w:val="single" w:sz="8" w:space="0" w:color="0070C0"/>
            </w:tcBorders>
            <w:shd w:val="clear" w:color="000000" w:fill="C6D9F1"/>
            <w:vAlign w:val="bottom"/>
            <w:hideMark/>
          </w:tcPr>
          <w:p w:rsidR="00850B0B" w:rsidRPr="00AE59EE" w:rsidRDefault="00850B0B" w:rsidP="00850B0B">
            <w:pPr>
              <w:jc w:val="center"/>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6.820</w:t>
            </w:r>
          </w:p>
        </w:tc>
        <w:tc>
          <w:tcPr>
            <w:tcW w:w="1024"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center"/>
              <w:rPr>
                <w:rFonts w:ascii="Times New Roman" w:eastAsia="Times New Roman" w:hAnsi="Times New Roman" w:cs="Times New Roman"/>
                <w:b/>
                <w:bCs/>
                <w:color w:val="FF0000"/>
                <w:sz w:val="20"/>
                <w:szCs w:val="20"/>
                <w:lang w:eastAsia="it-IT"/>
              </w:rPr>
            </w:pPr>
            <w:r w:rsidRPr="00AE59EE">
              <w:rPr>
                <w:rFonts w:ascii="Times New Roman" w:eastAsia="Times New Roman" w:hAnsi="Times New Roman" w:cs="Times New Roman"/>
                <w:b/>
                <w:bCs/>
                <w:color w:val="FF0000"/>
                <w:sz w:val="20"/>
                <w:szCs w:val="20"/>
                <w:lang w:eastAsia="it-IT"/>
              </w:rPr>
              <w:t>-572</w:t>
            </w:r>
          </w:p>
        </w:tc>
        <w:tc>
          <w:tcPr>
            <w:tcW w:w="1060"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center"/>
              <w:rPr>
                <w:rFonts w:ascii="Times New Roman" w:eastAsia="Times New Roman" w:hAnsi="Times New Roman" w:cs="Times New Roman"/>
                <w:b/>
                <w:bCs/>
                <w:color w:val="FF0000"/>
                <w:sz w:val="20"/>
                <w:szCs w:val="20"/>
                <w:lang w:eastAsia="it-IT"/>
              </w:rPr>
            </w:pPr>
            <w:r w:rsidRPr="00AE59EE">
              <w:rPr>
                <w:rFonts w:ascii="Times New Roman" w:eastAsia="Times New Roman" w:hAnsi="Times New Roman" w:cs="Times New Roman"/>
                <w:b/>
                <w:bCs/>
                <w:color w:val="FF0000"/>
                <w:sz w:val="20"/>
                <w:szCs w:val="20"/>
                <w:lang w:eastAsia="it-IT"/>
              </w:rPr>
              <w:t>-7,70%</w:t>
            </w:r>
          </w:p>
        </w:tc>
      </w:tr>
      <w:tr w:rsidR="00850B0B" w:rsidRPr="00AE59EE" w:rsidTr="00850B0B">
        <w:trPr>
          <w:trHeight w:val="315"/>
          <w:jc w:val="center"/>
        </w:trPr>
        <w:tc>
          <w:tcPr>
            <w:tcW w:w="2880" w:type="dxa"/>
            <w:tcBorders>
              <w:top w:val="nil"/>
              <w:left w:val="nil"/>
              <w:bottom w:val="nil"/>
              <w:right w:val="nil"/>
            </w:tcBorders>
            <w:shd w:val="clear" w:color="auto" w:fill="auto"/>
            <w:noWrap/>
            <w:vAlign w:val="bottom"/>
            <w:hideMark/>
          </w:tcPr>
          <w:p w:rsidR="00850B0B" w:rsidRPr="00AE59EE" w:rsidRDefault="00850B0B" w:rsidP="00850B0B">
            <w:pPr>
              <w:rPr>
                <w:rFonts w:ascii="Times New Roman" w:eastAsia="Times New Roman" w:hAnsi="Times New Roman" w:cs="Times New Roman"/>
                <w:color w:val="000000"/>
                <w:lang w:eastAsia="it-IT"/>
              </w:rPr>
            </w:pPr>
            <w:r w:rsidRPr="00AE59EE">
              <w:rPr>
                <w:rFonts w:ascii="Times New Roman" w:eastAsia="Times New Roman" w:hAnsi="Times New Roman" w:cs="Times New Roman"/>
                <w:color w:val="000000"/>
                <w:lang w:eastAsia="it-IT"/>
              </w:rPr>
              <w:t> </w:t>
            </w:r>
          </w:p>
        </w:tc>
        <w:tc>
          <w:tcPr>
            <w:tcW w:w="1180" w:type="dxa"/>
            <w:tcBorders>
              <w:top w:val="nil"/>
              <w:left w:val="nil"/>
              <w:bottom w:val="nil"/>
              <w:right w:val="nil"/>
            </w:tcBorders>
            <w:shd w:val="clear" w:color="auto" w:fill="auto"/>
            <w:noWrap/>
            <w:vAlign w:val="bottom"/>
            <w:hideMark/>
          </w:tcPr>
          <w:p w:rsidR="00850B0B" w:rsidRPr="00AE59EE" w:rsidRDefault="00850B0B" w:rsidP="00850B0B">
            <w:pPr>
              <w:rPr>
                <w:rFonts w:ascii="Times New Roman" w:eastAsia="Times New Roman" w:hAnsi="Times New Roman" w:cs="Times New Roman"/>
                <w:color w:val="000000"/>
                <w:lang w:eastAsia="it-IT"/>
              </w:rPr>
            </w:pPr>
            <w:r w:rsidRPr="00AE59EE">
              <w:rPr>
                <w:rFonts w:ascii="Times New Roman" w:eastAsia="Times New Roman" w:hAnsi="Times New Roman" w:cs="Times New Roman"/>
                <w:color w:val="000000"/>
                <w:lang w:eastAsia="it-IT"/>
              </w:rPr>
              <w:t> </w:t>
            </w:r>
          </w:p>
        </w:tc>
        <w:tc>
          <w:tcPr>
            <w:tcW w:w="1180" w:type="dxa"/>
            <w:tcBorders>
              <w:top w:val="nil"/>
              <w:left w:val="nil"/>
              <w:bottom w:val="nil"/>
              <w:right w:val="nil"/>
            </w:tcBorders>
            <w:shd w:val="clear" w:color="auto" w:fill="auto"/>
            <w:noWrap/>
            <w:vAlign w:val="bottom"/>
            <w:hideMark/>
          </w:tcPr>
          <w:p w:rsidR="00850B0B" w:rsidRPr="00AE59EE" w:rsidRDefault="00850B0B" w:rsidP="00850B0B">
            <w:pPr>
              <w:rPr>
                <w:rFonts w:ascii="Times New Roman" w:eastAsia="Times New Roman" w:hAnsi="Times New Roman" w:cs="Times New Roman"/>
                <w:color w:val="000000"/>
                <w:lang w:eastAsia="it-IT"/>
              </w:rPr>
            </w:pPr>
            <w:r w:rsidRPr="00AE59EE">
              <w:rPr>
                <w:rFonts w:ascii="Times New Roman" w:eastAsia="Times New Roman" w:hAnsi="Times New Roman" w:cs="Times New Roman"/>
                <w:color w:val="000000"/>
                <w:lang w:eastAsia="it-IT"/>
              </w:rPr>
              <w:t> </w:t>
            </w:r>
          </w:p>
        </w:tc>
        <w:tc>
          <w:tcPr>
            <w:tcW w:w="1024" w:type="dxa"/>
            <w:tcBorders>
              <w:top w:val="nil"/>
              <w:left w:val="nil"/>
              <w:bottom w:val="nil"/>
              <w:right w:val="nil"/>
            </w:tcBorders>
            <w:shd w:val="clear" w:color="auto" w:fill="auto"/>
            <w:noWrap/>
            <w:vAlign w:val="bottom"/>
            <w:hideMark/>
          </w:tcPr>
          <w:p w:rsidR="00850B0B" w:rsidRPr="00AE59EE" w:rsidRDefault="00850B0B" w:rsidP="00850B0B">
            <w:pPr>
              <w:rPr>
                <w:rFonts w:ascii="Times New Roman" w:eastAsia="Times New Roman" w:hAnsi="Times New Roman" w:cs="Times New Roman"/>
                <w:color w:val="000000"/>
                <w:lang w:eastAsia="it-IT"/>
              </w:rPr>
            </w:pPr>
            <w:r w:rsidRPr="00AE59EE">
              <w:rPr>
                <w:rFonts w:ascii="Times New Roman" w:eastAsia="Times New Roman" w:hAnsi="Times New Roman" w:cs="Times New Roman"/>
                <w:color w:val="000000"/>
                <w:lang w:eastAsia="it-IT"/>
              </w:rPr>
              <w:t> </w:t>
            </w:r>
          </w:p>
        </w:tc>
        <w:tc>
          <w:tcPr>
            <w:tcW w:w="1060" w:type="dxa"/>
            <w:tcBorders>
              <w:top w:val="nil"/>
              <w:left w:val="nil"/>
              <w:bottom w:val="nil"/>
              <w:right w:val="nil"/>
            </w:tcBorders>
            <w:shd w:val="clear" w:color="auto" w:fill="auto"/>
            <w:noWrap/>
            <w:vAlign w:val="bottom"/>
            <w:hideMark/>
          </w:tcPr>
          <w:p w:rsidR="00850B0B" w:rsidRPr="00AE59EE" w:rsidRDefault="00850B0B" w:rsidP="00850B0B">
            <w:pPr>
              <w:rPr>
                <w:rFonts w:ascii="Times New Roman" w:eastAsia="Times New Roman" w:hAnsi="Times New Roman" w:cs="Times New Roman"/>
                <w:color w:val="000000"/>
                <w:lang w:eastAsia="it-IT"/>
              </w:rPr>
            </w:pPr>
            <w:r w:rsidRPr="00AE59EE">
              <w:rPr>
                <w:rFonts w:ascii="Times New Roman" w:eastAsia="Times New Roman" w:hAnsi="Times New Roman" w:cs="Times New Roman"/>
                <w:color w:val="000000"/>
                <w:lang w:eastAsia="it-IT"/>
              </w:rPr>
              <w:t> </w:t>
            </w:r>
          </w:p>
        </w:tc>
      </w:tr>
      <w:tr w:rsidR="00850B0B" w:rsidRPr="00AE59EE" w:rsidTr="00850B0B">
        <w:trPr>
          <w:trHeight w:val="315"/>
          <w:jc w:val="center"/>
        </w:trPr>
        <w:tc>
          <w:tcPr>
            <w:tcW w:w="7324" w:type="dxa"/>
            <w:gridSpan w:val="5"/>
            <w:tcBorders>
              <w:top w:val="single" w:sz="8" w:space="0" w:color="0070C0"/>
              <w:left w:val="single" w:sz="8" w:space="0" w:color="0070C0"/>
              <w:bottom w:val="single" w:sz="8" w:space="0" w:color="0070C0"/>
              <w:right w:val="single" w:sz="8" w:space="0" w:color="0070C0"/>
            </w:tcBorders>
            <w:shd w:val="clear" w:color="000000" w:fill="C6D9F1"/>
            <w:vAlign w:val="bottom"/>
            <w:hideMark/>
          </w:tcPr>
          <w:p w:rsidR="00850B0B" w:rsidRPr="00AE59EE" w:rsidRDefault="00850B0B" w:rsidP="00850B0B">
            <w:pPr>
              <w:jc w:val="center"/>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 xml:space="preserve">Numero dimessi ricovero ordinario </w:t>
            </w:r>
          </w:p>
        </w:tc>
      </w:tr>
      <w:tr w:rsidR="00850B0B" w:rsidRPr="00AE59EE" w:rsidTr="00850B0B">
        <w:trPr>
          <w:trHeight w:val="315"/>
          <w:jc w:val="center"/>
        </w:trPr>
        <w:tc>
          <w:tcPr>
            <w:tcW w:w="2880" w:type="dxa"/>
            <w:tcBorders>
              <w:top w:val="nil"/>
              <w:left w:val="single" w:sz="8" w:space="0" w:color="0070C0"/>
              <w:bottom w:val="single" w:sz="8" w:space="0" w:color="0070C0"/>
              <w:right w:val="single" w:sz="8" w:space="0" w:color="0070C0"/>
            </w:tcBorders>
            <w:shd w:val="clear" w:color="000000" w:fill="C6D9F1"/>
            <w:vAlign w:val="bottom"/>
            <w:hideMark/>
          </w:tcPr>
          <w:p w:rsidR="00850B0B" w:rsidRPr="00AE59EE" w:rsidRDefault="00850B0B" w:rsidP="00850B0B">
            <w:pPr>
              <w:jc w:val="center"/>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per tipologia di DRG</w:t>
            </w:r>
          </w:p>
        </w:tc>
        <w:tc>
          <w:tcPr>
            <w:tcW w:w="1180" w:type="dxa"/>
            <w:tcBorders>
              <w:top w:val="nil"/>
              <w:left w:val="nil"/>
              <w:bottom w:val="single" w:sz="8" w:space="0" w:color="0070C0"/>
              <w:right w:val="single" w:sz="8" w:space="0" w:color="0070C0"/>
            </w:tcBorders>
            <w:shd w:val="clear" w:color="000000" w:fill="C6D9F1"/>
            <w:vAlign w:val="bottom"/>
            <w:hideMark/>
          </w:tcPr>
          <w:p w:rsidR="00850B0B" w:rsidRPr="00AE59EE" w:rsidRDefault="00850B0B" w:rsidP="00850B0B">
            <w:pPr>
              <w:jc w:val="center"/>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2014</w:t>
            </w:r>
          </w:p>
        </w:tc>
        <w:tc>
          <w:tcPr>
            <w:tcW w:w="1180" w:type="dxa"/>
            <w:tcBorders>
              <w:top w:val="nil"/>
              <w:left w:val="nil"/>
              <w:bottom w:val="single" w:sz="8" w:space="0" w:color="0070C0"/>
              <w:right w:val="single" w:sz="8" w:space="0" w:color="0070C0"/>
            </w:tcBorders>
            <w:shd w:val="clear" w:color="000000" w:fill="C6D9F1"/>
            <w:vAlign w:val="bottom"/>
            <w:hideMark/>
          </w:tcPr>
          <w:p w:rsidR="00850B0B" w:rsidRPr="00AE59EE" w:rsidRDefault="00850B0B" w:rsidP="00850B0B">
            <w:pPr>
              <w:jc w:val="center"/>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2015</w:t>
            </w:r>
          </w:p>
        </w:tc>
        <w:tc>
          <w:tcPr>
            <w:tcW w:w="1024" w:type="dxa"/>
            <w:tcBorders>
              <w:top w:val="nil"/>
              <w:left w:val="nil"/>
              <w:bottom w:val="single" w:sz="8" w:space="0" w:color="0070C0"/>
              <w:right w:val="single" w:sz="8" w:space="0" w:color="0070C0"/>
            </w:tcBorders>
            <w:shd w:val="clear" w:color="000000" w:fill="FFFFFF"/>
            <w:vAlign w:val="bottom"/>
            <w:hideMark/>
          </w:tcPr>
          <w:p w:rsidR="00850B0B" w:rsidRPr="00AE59EE" w:rsidRDefault="00850B0B" w:rsidP="00850B0B">
            <w:pPr>
              <w:jc w:val="center"/>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Var.</w:t>
            </w:r>
          </w:p>
        </w:tc>
        <w:tc>
          <w:tcPr>
            <w:tcW w:w="1060" w:type="dxa"/>
            <w:tcBorders>
              <w:top w:val="nil"/>
              <w:left w:val="nil"/>
              <w:bottom w:val="single" w:sz="8" w:space="0" w:color="0070C0"/>
              <w:right w:val="single" w:sz="8" w:space="0" w:color="0070C0"/>
            </w:tcBorders>
            <w:shd w:val="clear" w:color="000000" w:fill="FFFFFF"/>
            <w:vAlign w:val="bottom"/>
            <w:hideMark/>
          </w:tcPr>
          <w:p w:rsidR="00850B0B" w:rsidRPr="00AE59EE" w:rsidRDefault="00850B0B" w:rsidP="00850B0B">
            <w:pPr>
              <w:jc w:val="center"/>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VAR %</w:t>
            </w:r>
          </w:p>
        </w:tc>
      </w:tr>
      <w:tr w:rsidR="00850B0B" w:rsidRPr="00AE59EE" w:rsidTr="00850B0B">
        <w:trPr>
          <w:trHeight w:val="315"/>
          <w:jc w:val="center"/>
        </w:trPr>
        <w:tc>
          <w:tcPr>
            <w:tcW w:w="2880" w:type="dxa"/>
            <w:tcBorders>
              <w:top w:val="nil"/>
              <w:left w:val="single" w:sz="8" w:space="0" w:color="0070C0"/>
              <w:bottom w:val="single" w:sz="8" w:space="0" w:color="0070C0"/>
              <w:right w:val="single" w:sz="8" w:space="0" w:color="0070C0"/>
            </w:tcBorders>
            <w:shd w:val="clear" w:color="auto" w:fill="auto"/>
            <w:vAlign w:val="bottom"/>
            <w:hideMark/>
          </w:tcPr>
          <w:p w:rsidR="00850B0B" w:rsidRPr="00AE59EE" w:rsidRDefault="00850B0B" w:rsidP="00850B0B">
            <w:pPr>
              <w:jc w:val="center"/>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000000"/>
                <w:sz w:val="20"/>
                <w:szCs w:val="20"/>
                <w:lang w:eastAsia="it-IT"/>
              </w:rPr>
              <w:t>CHIRURGICI</w:t>
            </w:r>
          </w:p>
        </w:tc>
        <w:tc>
          <w:tcPr>
            <w:tcW w:w="1180"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center"/>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000000"/>
                <w:sz w:val="20"/>
                <w:szCs w:val="20"/>
                <w:lang w:eastAsia="it-IT"/>
              </w:rPr>
              <w:t>2.296</w:t>
            </w:r>
          </w:p>
        </w:tc>
        <w:tc>
          <w:tcPr>
            <w:tcW w:w="1180"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center"/>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000000"/>
                <w:sz w:val="20"/>
                <w:szCs w:val="20"/>
                <w:lang w:eastAsia="it-IT"/>
              </w:rPr>
              <w:t>2.462</w:t>
            </w:r>
          </w:p>
        </w:tc>
        <w:tc>
          <w:tcPr>
            <w:tcW w:w="1024"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center"/>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000000"/>
                <w:sz w:val="20"/>
                <w:szCs w:val="20"/>
                <w:lang w:eastAsia="it-IT"/>
              </w:rPr>
              <w:t>51</w:t>
            </w:r>
          </w:p>
        </w:tc>
        <w:tc>
          <w:tcPr>
            <w:tcW w:w="1060"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center"/>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000000"/>
                <w:sz w:val="20"/>
                <w:szCs w:val="20"/>
                <w:lang w:eastAsia="it-IT"/>
              </w:rPr>
              <w:t>7,23%</w:t>
            </w:r>
          </w:p>
        </w:tc>
      </w:tr>
      <w:tr w:rsidR="00850B0B" w:rsidRPr="00AE59EE" w:rsidTr="00850B0B">
        <w:trPr>
          <w:trHeight w:val="315"/>
          <w:jc w:val="center"/>
        </w:trPr>
        <w:tc>
          <w:tcPr>
            <w:tcW w:w="2880" w:type="dxa"/>
            <w:tcBorders>
              <w:top w:val="nil"/>
              <w:left w:val="single" w:sz="8" w:space="0" w:color="0070C0"/>
              <w:bottom w:val="single" w:sz="8" w:space="0" w:color="0070C0"/>
              <w:right w:val="single" w:sz="8" w:space="0" w:color="0070C0"/>
            </w:tcBorders>
            <w:shd w:val="clear" w:color="auto" w:fill="auto"/>
            <w:vAlign w:val="bottom"/>
            <w:hideMark/>
          </w:tcPr>
          <w:p w:rsidR="00850B0B" w:rsidRPr="00AE59EE" w:rsidRDefault="00850B0B" w:rsidP="00850B0B">
            <w:pPr>
              <w:jc w:val="center"/>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000000"/>
                <w:sz w:val="20"/>
                <w:szCs w:val="20"/>
                <w:lang w:eastAsia="it-IT"/>
              </w:rPr>
              <w:t>MEDICI</w:t>
            </w:r>
          </w:p>
        </w:tc>
        <w:tc>
          <w:tcPr>
            <w:tcW w:w="1180"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center"/>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000000"/>
                <w:sz w:val="20"/>
                <w:szCs w:val="20"/>
                <w:lang w:eastAsia="it-IT"/>
              </w:rPr>
              <w:t>5.096</w:t>
            </w:r>
          </w:p>
        </w:tc>
        <w:tc>
          <w:tcPr>
            <w:tcW w:w="1180"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center"/>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000000"/>
                <w:sz w:val="20"/>
                <w:szCs w:val="20"/>
                <w:lang w:eastAsia="it-IT"/>
              </w:rPr>
              <w:t>4.358</w:t>
            </w:r>
          </w:p>
        </w:tc>
        <w:tc>
          <w:tcPr>
            <w:tcW w:w="1024"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center"/>
              <w:rPr>
                <w:rFonts w:ascii="Times New Roman" w:eastAsia="Times New Roman" w:hAnsi="Times New Roman" w:cs="Times New Roman"/>
                <w:color w:val="FF0000"/>
                <w:sz w:val="20"/>
                <w:szCs w:val="20"/>
                <w:lang w:eastAsia="it-IT"/>
              </w:rPr>
            </w:pPr>
            <w:r w:rsidRPr="00AE59EE">
              <w:rPr>
                <w:rFonts w:ascii="Times New Roman" w:eastAsia="Times New Roman" w:hAnsi="Times New Roman" w:cs="Times New Roman"/>
                <w:color w:val="FF0000"/>
                <w:sz w:val="20"/>
                <w:szCs w:val="20"/>
                <w:lang w:eastAsia="it-IT"/>
              </w:rPr>
              <w:t>-623</w:t>
            </w:r>
          </w:p>
        </w:tc>
        <w:tc>
          <w:tcPr>
            <w:tcW w:w="1060"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center"/>
              <w:rPr>
                <w:rFonts w:ascii="Times New Roman" w:eastAsia="Times New Roman" w:hAnsi="Times New Roman" w:cs="Times New Roman"/>
                <w:color w:val="FF0000"/>
                <w:sz w:val="20"/>
                <w:szCs w:val="20"/>
                <w:lang w:eastAsia="it-IT"/>
              </w:rPr>
            </w:pPr>
            <w:r w:rsidRPr="00AE59EE">
              <w:rPr>
                <w:rFonts w:ascii="Times New Roman" w:eastAsia="Times New Roman" w:hAnsi="Times New Roman" w:cs="Times New Roman"/>
                <w:color w:val="FF0000"/>
                <w:sz w:val="20"/>
                <w:szCs w:val="20"/>
                <w:lang w:eastAsia="it-IT"/>
              </w:rPr>
              <w:t>-14,48%</w:t>
            </w:r>
          </w:p>
        </w:tc>
      </w:tr>
      <w:tr w:rsidR="00850B0B" w:rsidRPr="00AE59EE" w:rsidTr="00850B0B">
        <w:trPr>
          <w:trHeight w:val="315"/>
          <w:jc w:val="center"/>
        </w:trPr>
        <w:tc>
          <w:tcPr>
            <w:tcW w:w="2880" w:type="dxa"/>
            <w:tcBorders>
              <w:top w:val="nil"/>
              <w:left w:val="single" w:sz="8" w:space="0" w:color="0070C0"/>
              <w:bottom w:val="single" w:sz="8" w:space="0" w:color="0070C0"/>
              <w:right w:val="single" w:sz="8" w:space="0" w:color="0070C0"/>
            </w:tcBorders>
            <w:shd w:val="clear" w:color="000000" w:fill="C6D9F1"/>
            <w:vAlign w:val="bottom"/>
            <w:hideMark/>
          </w:tcPr>
          <w:p w:rsidR="00850B0B" w:rsidRPr="00AE59EE" w:rsidRDefault="00850B0B" w:rsidP="00850B0B">
            <w:pPr>
              <w:jc w:val="center"/>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TOTALI</w:t>
            </w:r>
          </w:p>
        </w:tc>
        <w:tc>
          <w:tcPr>
            <w:tcW w:w="1180" w:type="dxa"/>
            <w:tcBorders>
              <w:top w:val="nil"/>
              <w:left w:val="nil"/>
              <w:bottom w:val="single" w:sz="8" w:space="0" w:color="0070C0"/>
              <w:right w:val="single" w:sz="8" w:space="0" w:color="0070C0"/>
            </w:tcBorders>
            <w:shd w:val="clear" w:color="000000" w:fill="C6D9F1"/>
            <w:vAlign w:val="bottom"/>
            <w:hideMark/>
          </w:tcPr>
          <w:p w:rsidR="00850B0B" w:rsidRPr="00AE59EE" w:rsidRDefault="00850B0B" w:rsidP="00850B0B">
            <w:pPr>
              <w:jc w:val="center"/>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7.392</w:t>
            </w:r>
          </w:p>
        </w:tc>
        <w:tc>
          <w:tcPr>
            <w:tcW w:w="1180" w:type="dxa"/>
            <w:tcBorders>
              <w:top w:val="nil"/>
              <w:left w:val="nil"/>
              <w:bottom w:val="single" w:sz="8" w:space="0" w:color="0070C0"/>
              <w:right w:val="single" w:sz="8" w:space="0" w:color="0070C0"/>
            </w:tcBorders>
            <w:shd w:val="clear" w:color="000000" w:fill="C6D9F1"/>
            <w:vAlign w:val="bottom"/>
            <w:hideMark/>
          </w:tcPr>
          <w:p w:rsidR="00850B0B" w:rsidRPr="00AE59EE" w:rsidRDefault="00850B0B" w:rsidP="00850B0B">
            <w:pPr>
              <w:jc w:val="center"/>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6.820</w:t>
            </w:r>
          </w:p>
        </w:tc>
        <w:tc>
          <w:tcPr>
            <w:tcW w:w="1024"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center"/>
              <w:rPr>
                <w:rFonts w:ascii="Times New Roman" w:eastAsia="Times New Roman" w:hAnsi="Times New Roman" w:cs="Times New Roman"/>
                <w:b/>
                <w:bCs/>
                <w:color w:val="FF0000"/>
                <w:sz w:val="20"/>
                <w:szCs w:val="20"/>
                <w:lang w:eastAsia="it-IT"/>
              </w:rPr>
            </w:pPr>
            <w:r w:rsidRPr="00AE59EE">
              <w:rPr>
                <w:rFonts w:ascii="Times New Roman" w:eastAsia="Times New Roman" w:hAnsi="Times New Roman" w:cs="Times New Roman"/>
                <w:b/>
                <w:bCs/>
                <w:color w:val="FF0000"/>
                <w:sz w:val="20"/>
                <w:szCs w:val="20"/>
                <w:lang w:eastAsia="it-IT"/>
              </w:rPr>
              <w:t>-572</w:t>
            </w:r>
          </w:p>
        </w:tc>
        <w:tc>
          <w:tcPr>
            <w:tcW w:w="1060"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center"/>
              <w:rPr>
                <w:rFonts w:ascii="Times New Roman" w:eastAsia="Times New Roman" w:hAnsi="Times New Roman" w:cs="Times New Roman"/>
                <w:b/>
                <w:bCs/>
                <w:color w:val="FF0000"/>
                <w:sz w:val="20"/>
                <w:szCs w:val="20"/>
                <w:lang w:eastAsia="it-IT"/>
              </w:rPr>
            </w:pPr>
            <w:r w:rsidRPr="00AE59EE">
              <w:rPr>
                <w:rFonts w:ascii="Times New Roman" w:eastAsia="Times New Roman" w:hAnsi="Times New Roman" w:cs="Times New Roman"/>
                <w:b/>
                <w:bCs/>
                <w:color w:val="FF0000"/>
                <w:sz w:val="20"/>
                <w:szCs w:val="20"/>
                <w:lang w:eastAsia="it-IT"/>
              </w:rPr>
              <w:t>-7,74%</w:t>
            </w:r>
          </w:p>
        </w:tc>
      </w:tr>
      <w:tr w:rsidR="00850B0B" w:rsidRPr="00AE59EE" w:rsidTr="00850B0B">
        <w:trPr>
          <w:trHeight w:val="315"/>
          <w:jc w:val="center"/>
        </w:trPr>
        <w:tc>
          <w:tcPr>
            <w:tcW w:w="2880" w:type="dxa"/>
            <w:tcBorders>
              <w:top w:val="nil"/>
              <w:left w:val="nil"/>
              <w:bottom w:val="nil"/>
              <w:right w:val="nil"/>
            </w:tcBorders>
            <w:shd w:val="clear" w:color="auto" w:fill="auto"/>
            <w:noWrap/>
            <w:vAlign w:val="bottom"/>
            <w:hideMark/>
          </w:tcPr>
          <w:p w:rsidR="00850B0B" w:rsidRPr="00AE59EE" w:rsidRDefault="00850B0B" w:rsidP="00850B0B">
            <w:pPr>
              <w:rPr>
                <w:rFonts w:ascii="Times New Roman" w:eastAsia="Times New Roman" w:hAnsi="Times New Roman" w:cs="Times New Roman"/>
                <w:color w:val="000000"/>
                <w:lang w:eastAsia="it-IT"/>
              </w:rPr>
            </w:pPr>
          </w:p>
        </w:tc>
        <w:tc>
          <w:tcPr>
            <w:tcW w:w="1180" w:type="dxa"/>
            <w:tcBorders>
              <w:top w:val="nil"/>
              <w:left w:val="nil"/>
              <w:bottom w:val="nil"/>
              <w:right w:val="nil"/>
            </w:tcBorders>
            <w:shd w:val="clear" w:color="auto" w:fill="auto"/>
            <w:noWrap/>
            <w:vAlign w:val="bottom"/>
            <w:hideMark/>
          </w:tcPr>
          <w:p w:rsidR="00850B0B" w:rsidRPr="00AE59EE" w:rsidRDefault="00850B0B" w:rsidP="00850B0B">
            <w:pPr>
              <w:rPr>
                <w:rFonts w:ascii="Times New Roman" w:eastAsia="Times New Roman" w:hAnsi="Times New Roman" w:cs="Times New Roman"/>
                <w:color w:val="000000"/>
                <w:lang w:eastAsia="it-IT"/>
              </w:rPr>
            </w:pPr>
          </w:p>
        </w:tc>
        <w:tc>
          <w:tcPr>
            <w:tcW w:w="1180" w:type="dxa"/>
            <w:tcBorders>
              <w:top w:val="nil"/>
              <w:left w:val="nil"/>
              <w:bottom w:val="nil"/>
              <w:right w:val="nil"/>
            </w:tcBorders>
            <w:shd w:val="clear" w:color="auto" w:fill="auto"/>
            <w:noWrap/>
            <w:vAlign w:val="bottom"/>
            <w:hideMark/>
          </w:tcPr>
          <w:p w:rsidR="00850B0B" w:rsidRDefault="00850B0B" w:rsidP="00850B0B">
            <w:pPr>
              <w:rPr>
                <w:rFonts w:ascii="Times New Roman" w:eastAsia="Times New Roman" w:hAnsi="Times New Roman" w:cs="Times New Roman"/>
                <w:color w:val="000000"/>
                <w:lang w:eastAsia="it-IT"/>
              </w:rPr>
            </w:pPr>
          </w:p>
          <w:p w:rsidR="008249A1" w:rsidRPr="00AE59EE" w:rsidRDefault="008249A1" w:rsidP="00850B0B">
            <w:pPr>
              <w:rPr>
                <w:rFonts w:ascii="Times New Roman" w:eastAsia="Times New Roman" w:hAnsi="Times New Roman" w:cs="Times New Roman"/>
                <w:color w:val="000000"/>
                <w:lang w:eastAsia="it-IT"/>
              </w:rPr>
            </w:pPr>
          </w:p>
        </w:tc>
        <w:tc>
          <w:tcPr>
            <w:tcW w:w="1024" w:type="dxa"/>
            <w:tcBorders>
              <w:top w:val="nil"/>
              <w:left w:val="nil"/>
              <w:bottom w:val="nil"/>
              <w:right w:val="nil"/>
            </w:tcBorders>
            <w:shd w:val="clear" w:color="auto" w:fill="auto"/>
            <w:noWrap/>
            <w:vAlign w:val="bottom"/>
            <w:hideMark/>
          </w:tcPr>
          <w:p w:rsidR="00850B0B" w:rsidRPr="00AE59EE" w:rsidRDefault="00850B0B" w:rsidP="00850B0B">
            <w:pPr>
              <w:rPr>
                <w:rFonts w:ascii="Times New Roman" w:eastAsia="Times New Roman" w:hAnsi="Times New Roman" w:cs="Times New Roman"/>
                <w:color w:val="000000"/>
                <w:lang w:eastAsia="it-IT"/>
              </w:rPr>
            </w:pPr>
          </w:p>
        </w:tc>
        <w:tc>
          <w:tcPr>
            <w:tcW w:w="1060" w:type="dxa"/>
            <w:tcBorders>
              <w:top w:val="nil"/>
              <w:left w:val="nil"/>
              <w:bottom w:val="nil"/>
              <w:right w:val="nil"/>
            </w:tcBorders>
            <w:shd w:val="clear" w:color="auto" w:fill="auto"/>
            <w:noWrap/>
            <w:vAlign w:val="bottom"/>
            <w:hideMark/>
          </w:tcPr>
          <w:p w:rsidR="00850B0B" w:rsidRPr="00AE59EE" w:rsidRDefault="00850B0B" w:rsidP="00850B0B">
            <w:pPr>
              <w:rPr>
                <w:rFonts w:ascii="Times New Roman" w:eastAsia="Times New Roman" w:hAnsi="Times New Roman" w:cs="Times New Roman"/>
                <w:color w:val="000000"/>
                <w:lang w:eastAsia="it-IT"/>
              </w:rPr>
            </w:pPr>
          </w:p>
        </w:tc>
      </w:tr>
      <w:tr w:rsidR="00850B0B" w:rsidRPr="00AE59EE" w:rsidTr="00850B0B">
        <w:trPr>
          <w:trHeight w:val="510"/>
          <w:jc w:val="center"/>
        </w:trPr>
        <w:tc>
          <w:tcPr>
            <w:tcW w:w="7324" w:type="dxa"/>
            <w:gridSpan w:val="5"/>
            <w:tcBorders>
              <w:top w:val="single" w:sz="8" w:space="0" w:color="0070C0"/>
              <w:left w:val="single" w:sz="8" w:space="0" w:color="0070C0"/>
              <w:bottom w:val="single" w:sz="8" w:space="0" w:color="0070C0"/>
              <w:right w:val="single" w:sz="8" w:space="0" w:color="0070C0"/>
            </w:tcBorders>
            <w:shd w:val="clear" w:color="000000" w:fill="C6D9F1"/>
            <w:vAlign w:val="bottom"/>
            <w:hideMark/>
          </w:tcPr>
          <w:p w:rsidR="00850B0B" w:rsidRPr="00AE59EE" w:rsidRDefault="00850B0B" w:rsidP="00850B0B">
            <w:pPr>
              <w:jc w:val="center"/>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lastRenderedPageBreak/>
              <w:t xml:space="preserve">Numero </w:t>
            </w:r>
            <w:proofErr w:type="spellStart"/>
            <w:r w:rsidRPr="00AE59EE">
              <w:rPr>
                <w:rFonts w:ascii="Times New Roman" w:eastAsia="Times New Roman" w:hAnsi="Times New Roman" w:cs="Times New Roman"/>
                <w:b/>
                <w:bCs/>
                <w:color w:val="000000"/>
                <w:sz w:val="20"/>
                <w:szCs w:val="20"/>
                <w:lang w:eastAsia="it-IT"/>
              </w:rPr>
              <w:t>Day</w:t>
            </w:r>
            <w:proofErr w:type="spellEnd"/>
            <w:r w:rsidRPr="00AE59EE">
              <w:rPr>
                <w:rFonts w:ascii="Times New Roman" w:eastAsia="Times New Roman" w:hAnsi="Times New Roman" w:cs="Times New Roman"/>
                <w:b/>
                <w:bCs/>
                <w:color w:val="000000"/>
                <w:sz w:val="20"/>
                <w:szCs w:val="20"/>
                <w:lang w:eastAsia="it-IT"/>
              </w:rPr>
              <w:t xml:space="preserve"> Hospital - per tipologia DRG e per tipo di degenza</w:t>
            </w:r>
          </w:p>
        </w:tc>
      </w:tr>
      <w:tr w:rsidR="00850B0B" w:rsidRPr="00AE59EE" w:rsidTr="00850B0B">
        <w:trPr>
          <w:trHeight w:val="315"/>
          <w:jc w:val="center"/>
        </w:trPr>
        <w:tc>
          <w:tcPr>
            <w:tcW w:w="2880" w:type="dxa"/>
            <w:tcBorders>
              <w:top w:val="nil"/>
              <w:left w:val="single" w:sz="8" w:space="0" w:color="0070C0"/>
              <w:bottom w:val="single" w:sz="8" w:space="0" w:color="0070C0"/>
              <w:right w:val="single" w:sz="8" w:space="0" w:color="0070C0"/>
            </w:tcBorders>
            <w:shd w:val="clear" w:color="auto" w:fill="auto"/>
            <w:vAlign w:val="bottom"/>
            <w:hideMark/>
          </w:tcPr>
          <w:p w:rsidR="00850B0B" w:rsidRPr="00AE59EE" w:rsidRDefault="00850B0B" w:rsidP="00850B0B">
            <w:pPr>
              <w:rPr>
                <w:rFonts w:ascii="Times New Roman" w:eastAsia="Times New Roman" w:hAnsi="Times New Roman" w:cs="Times New Roman"/>
                <w:b/>
                <w:bCs/>
                <w:color w:val="000000"/>
                <w:sz w:val="20"/>
                <w:szCs w:val="20"/>
                <w:lang w:eastAsia="it-IT"/>
              </w:rPr>
            </w:pPr>
            <w:proofErr w:type="spellStart"/>
            <w:r w:rsidRPr="00AE59EE">
              <w:rPr>
                <w:rFonts w:ascii="Times New Roman" w:eastAsia="Times New Roman" w:hAnsi="Times New Roman" w:cs="Times New Roman"/>
                <w:b/>
                <w:bCs/>
                <w:color w:val="000000"/>
                <w:sz w:val="20"/>
                <w:szCs w:val="20"/>
                <w:lang w:eastAsia="it-IT"/>
              </w:rPr>
              <w:t>D.R.G.</w:t>
            </w:r>
            <w:proofErr w:type="spellEnd"/>
            <w:r w:rsidRPr="00AE59EE">
              <w:rPr>
                <w:rFonts w:ascii="Times New Roman" w:eastAsia="Times New Roman" w:hAnsi="Times New Roman" w:cs="Times New Roman"/>
                <w:b/>
                <w:bCs/>
                <w:color w:val="000000"/>
                <w:sz w:val="20"/>
                <w:szCs w:val="20"/>
                <w:lang w:eastAsia="it-IT"/>
              </w:rPr>
              <w:t xml:space="preserve"> medico</w:t>
            </w:r>
          </w:p>
        </w:tc>
        <w:tc>
          <w:tcPr>
            <w:tcW w:w="1180" w:type="dxa"/>
            <w:tcBorders>
              <w:top w:val="nil"/>
              <w:left w:val="nil"/>
              <w:bottom w:val="single" w:sz="8" w:space="0" w:color="0070C0"/>
              <w:right w:val="single" w:sz="8" w:space="0" w:color="0070C0"/>
            </w:tcBorders>
            <w:shd w:val="clear" w:color="000000" w:fill="C6D9F1"/>
            <w:vAlign w:val="bottom"/>
            <w:hideMark/>
          </w:tcPr>
          <w:p w:rsidR="00850B0B" w:rsidRPr="00AE59EE" w:rsidRDefault="00850B0B" w:rsidP="00850B0B">
            <w:pPr>
              <w:jc w:val="center"/>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2014</w:t>
            </w:r>
          </w:p>
        </w:tc>
        <w:tc>
          <w:tcPr>
            <w:tcW w:w="1180" w:type="dxa"/>
            <w:tcBorders>
              <w:top w:val="nil"/>
              <w:left w:val="nil"/>
              <w:bottom w:val="single" w:sz="8" w:space="0" w:color="0070C0"/>
              <w:right w:val="single" w:sz="8" w:space="0" w:color="0070C0"/>
            </w:tcBorders>
            <w:shd w:val="clear" w:color="000000" w:fill="C6D9F1"/>
            <w:vAlign w:val="bottom"/>
            <w:hideMark/>
          </w:tcPr>
          <w:p w:rsidR="00850B0B" w:rsidRPr="00AE59EE" w:rsidRDefault="00850B0B" w:rsidP="00850B0B">
            <w:pPr>
              <w:jc w:val="center"/>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2015</w:t>
            </w:r>
          </w:p>
        </w:tc>
        <w:tc>
          <w:tcPr>
            <w:tcW w:w="1024" w:type="dxa"/>
            <w:tcBorders>
              <w:top w:val="nil"/>
              <w:left w:val="nil"/>
              <w:bottom w:val="single" w:sz="8" w:space="0" w:color="0070C0"/>
              <w:right w:val="single" w:sz="8" w:space="0" w:color="0070C0"/>
            </w:tcBorders>
            <w:shd w:val="clear" w:color="000000" w:fill="FFFFFF"/>
            <w:vAlign w:val="bottom"/>
            <w:hideMark/>
          </w:tcPr>
          <w:p w:rsidR="00850B0B" w:rsidRPr="00AE59EE" w:rsidRDefault="00850B0B" w:rsidP="00850B0B">
            <w:pPr>
              <w:jc w:val="center"/>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Var.</w:t>
            </w:r>
          </w:p>
        </w:tc>
        <w:tc>
          <w:tcPr>
            <w:tcW w:w="1060" w:type="dxa"/>
            <w:tcBorders>
              <w:top w:val="nil"/>
              <w:left w:val="nil"/>
              <w:bottom w:val="single" w:sz="8" w:space="0" w:color="0070C0"/>
              <w:right w:val="single" w:sz="8" w:space="0" w:color="0070C0"/>
            </w:tcBorders>
            <w:shd w:val="clear" w:color="000000" w:fill="FFFFFF"/>
            <w:vAlign w:val="bottom"/>
            <w:hideMark/>
          </w:tcPr>
          <w:p w:rsidR="00850B0B" w:rsidRPr="00AE59EE" w:rsidRDefault="00850B0B" w:rsidP="00850B0B">
            <w:pPr>
              <w:jc w:val="center"/>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Var. %</w:t>
            </w:r>
          </w:p>
        </w:tc>
      </w:tr>
      <w:tr w:rsidR="00850B0B" w:rsidRPr="00AE59EE" w:rsidTr="00850B0B">
        <w:trPr>
          <w:trHeight w:val="315"/>
          <w:jc w:val="center"/>
        </w:trPr>
        <w:tc>
          <w:tcPr>
            <w:tcW w:w="2880" w:type="dxa"/>
            <w:tcBorders>
              <w:top w:val="nil"/>
              <w:left w:val="single" w:sz="8" w:space="0" w:color="0070C0"/>
              <w:bottom w:val="single" w:sz="8" w:space="0" w:color="0070C0"/>
              <w:right w:val="single" w:sz="8" w:space="0" w:color="0070C0"/>
            </w:tcBorders>
            <w:shd w:val="clear" w:color="auto" w:fill="auto"/>
            <w:vAlign w:val="bottom"/>
            <w:hideMark/>
          </w:tcPr>
          <w:p w:rsidR="00850B0B" w:rsidRPr="00AE59EE" w:rsidRDefault="00850B0B" w:rsidP="00850B0B">
            <w:pPr>
              <w:jc w:val="right"/>
              <w:rPr>
                <w:rFonts w:ascii="Times New Roman" w:eastAsia="Times New Roman" w:hAnsi="Times New Roman" w:cs="Times New Roman"/>
                <w:color w:val="000000"/>
                <w:sz w:val="20"/>
                <w:szCs w:val="20"/>
                <w:lang w:eastAsia="it-IT"/>
              </w:rPr>
            </w:pPr>
            <w:proofErr w:type="spellStart"/>
            <w:r w:rsidRPr="00AE59EE">
              <w:rPr>
                <w:rFonts w:ascii="Times New Roman" w:eastAsia="Times New Roman" w:hAnsi="Times New Roman" w:cs="Times New Roman"/>
                <w:color w:val="000000"/>
                <w:sz w:val="20"/>
                <w:szCs w:val="20"/>
                <w:lang w:eastAsia="it-IT"/>
              </w:rPr>
              <w:t>Day</w:t>
            </w:r>
            <w:proofErr w:type="spellEnd"/>
            <w:r w:rsidRPr="00AE59EE">
              <w:rPr>
                <w:rFonts w:ascii="Times New Roman" w:eastAsia="Times New Roman" w:hAnsi="Times New Roman" w:cs="Times New Roman"/>
                <w:color w:val="000000"/>
                <w:sz w:val="20"/>
                <w:szCs w:val="20"/>
                <w:lang w:eastAsia="it-IT"/>
              </w:rPr>
              <w:t xml:space="preserve"> hospital ciclo</w:t>
            </w:r>
          </w:p>
        </w:tc>
        <w:tc>
          <w:tcPr>
            <w:tcW w:w="1180"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right"/>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000000"/>
                <w:sz w:val="20"/>
                <w:szCs w:val="20"/>
                <w:lang w:eastAsia="it-IT"/>
              </w:rPr>
              <w:t>2.130</w:t>
            </w:r>
          </w:p>
        </w:tc>
        <w:tc>
          <w:tcPr>
            <w:tcW w:w="1180"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right"/>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000000"/>
                <w:sz w:val="20"/>
                <w:szCs w:val="20"/>
                <w:lang w:eastAsia="it-IT"/>
              </w:rPr>
              <w:t>1.913</w:t>
            </w:r>
          </w:p>
        </w:tc>
        <w:tc>
          <w:tcPr>
            <w:tcW w:w="1024"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right"/>
              <w:rPr>
                <w:rFonts w:ascii="Times New Roman" w:eastAsia="Times New Roman" w:hAnsi="Times New Roman" w:cs="Times New Roman"/>
                <w:color w:val="FF0000"/>
                <w:sz w:val="20"/>
                <w:szCs w:val="20"/>
                <w:lang w:eastAsia="it-IT"/>
              </w:rPr>
            </w:pPr>
            <w:r w:rsidRPr="00AE59EE">
              <w:rPr>
                <w:rFonts w:ascii="Times New Roman" w:eastAsia="Times New Roman" w:hAnsi="Times New Roman" w:cs="Times New Roman"/>
                <w:color w:val="FF0000"/>
                <w:sz w:val="20"/>
                <w:szCs w:val="20"/>
                <w:lang w:eastAsia="it-IT"/>
              </w:rPr>
              <w:t>-217</w:t>
            </w:r>
          </w:p>
        </w:tc>
        <w:tc>
          <w:tcPr>
            <w:tcW w:w="1060"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right"/>
              <w:rPr>
                <w:rFonts w:ascii="Times New Roman" w:eastAsia="Times New Roman" w:hAnsi="Times New Roman" w:cs="Times New Roman"/>
                <w:color w:val="FF0000"/>
                <w:sz w:val="20"/>
                <w:szCs w:val="20"/>
                <w:lang w:eastAsia="it-IT"/>
              </w:rPr>
            </w:pPr>
            <w:r w:rsidRPr="00AE59EE">
              <w:rPr>
                <w:rFonts w:ascii="Times New Roman" w:eastAsia="Times New Roman" w:hAnsi="Times New Roman" w:cs="Times New Roman"/>
                <w:color w:val="FF0000"/>
                <w:sz w:val="20"/>
                <w:szCs w:val="20"/>
                <w:lang w:eastAsia="it-IT"/>
              </w:rPr>
              <w:t>-10,02%</w:t>
            </w:r>
          </w:p>
        </w:tc>
      </w:tr>
      <w:tr w:rsidR="00850B0B" w:rsidRPr="00AE59EE" w:rsidTr="00B12FBA">
        <w:trPr>
          <w:trHeight w:val="331"/>
          <w:jc w:val="center"/>
        </w:trPr>
        <w:tc>
          <w:tcPr>
            <w:tcW w:w="2880" w:type="dxa"/>
            <w:tcBorders>
              <w:top w:val="nil"/>
              <w:left w:val="single" w:sz="8" w:space="0" w:color="0070C0"/>
              <w:bottom w:val="single" w:sz="8" w:space="0" w:color="0070C0"/>
              <w:right w:val="single" w:sz="8" w:space="0" w:color="0070C0"/>
            </w:tcBorders>
            <w:shd w:val="clear" w:color="auto" w:fill="auto"/>
            <w:vAlign w:val="bottom"/>
            <w:hideMark/>
          </w:tcPr>
          <w:p w:rsidR="00850B0B" w:rsidRPr="00AE59EE" w:rsidRDefault="00850B0B" w:rsidP="00850B0B">
            <w:pPr>
              <w:jc w:val="right"/>
              <w:rPr>
                <w:rFonts w:ascii="Times New Roman" w:eastAsia="Times New Roman" w:hAnsi="Times New Roman" w:cs="Times New Roman"/>
                <w:color w:val="000000"/>
                <w:sz w:val="20"/>
                <w:szCs w:val="20"/>
                <w:lang w:eastAsia="it-IT"/>
              </w:rPr>
            </w:pPr>
            <w:proofErr w:type="spellStart"/>
            <w:r w:rsidRPr="00AE59EE">
              <w:rPr>
                <w:rFonts w:ascii="Times New Roman" w:eastAsia="Times New Roman" w:hAnsi="Times New Roman" w:cs="Times New Roman"/>
                <w:color w:val="000000"/>
                <w:sz w:val="20"/>
                <w:szCs w:val="20"/>
                <w:lang w:eastAsia="it-IT"/>
              </w:rPr>
              <w:t>Day</w:t>
            </w:r>
            <w:proofErr w:type="spellEnd"/>
            <w:r w:rsidRPr="00AE59EE">
              <w:rPr>
                <w:rFonts w:ascii="Times New Roman" w:eastAsia="Times New Roman" w:hAnsi="Times New Roman" w:cs="Times New Roman"/>
                <w:color w:val="000000"/>
                <w:sz w:val="20"/>
                <w:szCs w:val="20"/>
                <w:lang w:eastAsia="it-IT"/>
              </w:rPr>
              <w:t xml:space="preserve"> hospital 1 G.</w:t>
            </w:r>
          </w:p>
        </w:tc>
        <w:tc>
          <w:tcPr>
            <w:tcW w:w="1180"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right"/>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000000"/>
                <w:sz w:val="20"/>
                <w:szCs w:val="20"/>
                <w:lang w:eastAsia="it-IT"/>
              </w:rPr>
              <w:t>608</w:t>
            </w:r>
          </w:p>
        </w:tc>
        <w:tc>
          <w:tcPr>
            <w:tcW w:w="1180"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right"/>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000000"/>
                <w:sz w:val="20"/>
                <w:szCs w:val="20"/>
                <w:lang w:eastAsia="it-IT"/>
              </w:rPr>
              <w:t>75</w:t>
            </w:r>
          </w:p>
        </w:tc>
        <w:tc>
          <w:tcPr>
            <w:tcW w:w="1024"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right"/>
              <w:rPr>
                <w:rFonts w:ascii="Times New Roman" w:eastAsia="Times New Roman" w:hAnsi="Times New Roman" w:cs="Times New Roman"/>
                <w:color w:val="FF0000"/>
                <w:sz w:val="20"/>
                <w:szCs w:val="20"/>
                <w:lang w:eastAsia="it-IT"/>
              </w:rPr>
            </w:pPr>
            <w:r w:rsidRPr="00AE59EE">
              <w:rPr>
                <w:rFonts w:ascii="Times New Roman" w:eastAsia="Times New Roman" w:hAnsi="Times New Roman" w:cs="Times New Roman"/>
                <w:color w:val="FF0000"/>
                <w:sz w:val="20"/>
                <w:szCs w:val="20"/>
                <w:lang w:eastAsia="it-IT"/>
              </w:rPr>
              <w:t>-533</w:t>
            </w:r>
          </w:p>
        </w:tc>
        <w:tc>
          <w:tcPr>
            <w:tcW w:w="1060"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right"/>
              <w:rPr>
                <w:rFonts w:ascii="Times New Roman" w:eastAsia="Times New Roman" w:hAnsi="Times New Roman" w:cs="Times New Roman"/>
                <w:color w:val="FF0000"/>
                <w:sz w:val="20"/>
                <w:szCs w:val="20"/>
                <w:lang w:eastAsia="it-IT"/>
              </w:rPr>
            </w:pPr>
            <w:r w:rsidRPr="00AE59EE">
              <w:rPr>
                <w:rFonts w:ascii="Times New Roman" w:eastAsia="Times New Roman" w:hAnsi="Times New Roman" w:cs="Times New Roman"/>
                <w:color w:val="FF0000"/>
                <w:sz w:val="20"/>
                <w:szCs w:val="20"/>
                <w:lang w:eastAsia="it-IT"/>
              </w:rPr>
              <w:t>-87,70%</w:t>
            </w:r>
          </w:p>
        </w:tc>
      </w:tr>
      <w:tr w:rsidR="00850B0B" w:rsidRPr="00AE59EE" w:rsidTr="00850B0B">
        <w:trPr>
          <w:trHeight w:val="315"/>
          <w:jc w:val="center"/>
        </w:trPr>
        <w:tc>
          <w:tcPr>
            <w:tcW w:w="2880" w:type="dxa"/>
            <w:tcBorders>
              <w:top w:val="nil"/>
              <w:left w:val="single" w:sz="8" w:space="0" w:color="0070C0"/>
              <w:bottom w:val="single" w:sz="8" w:space="0" w:color="0070C0"/>
              <w:right w:val="single" w:sz="8" w:space="0" w:color="0070C0"/>
            </w:tcBorders>
            <w:shd w:val="clear" w:color="auto" w:fill="auto"/>
            <w:vAlign w:val="bottom"/>
            <w:hideMark/>
          </w:tcPr>
          <w:p w:rsidR="00850B0B" w:rsidRPr="00AE59EE" w:rsidRDefault="00850B0B" w:rsidP="00850B0B">
            <w:pPr>
              <w:rPr>
                <w:rFonts w:ascii="Times New Roman" w:eastAsia="Times New Roman" w:hAnsi="Times New Roman" w:cs="Times New Roman"/>
                <w:b/>
                <w:bCs/>
                <w:color w:val="000000"/>
                <w:sz w:val="20"/>
                <w:szCs w:val="20"/>
                <w:lang w:eastAsia="it-IT"/>
              </w:rPr>
            </w:pPr>
            <w:proofErr w:type="spellStart"/>
            <w:r w:rsidRPr="00AE59EE">
              <w:rPr>
                <w:rFonts w:ascii="Times New Roman" w:eastAsia="Times New Roman" w:hAnsi="Times New Roman" w:cs="Times New Roman"/>
                <w:b/>
                <w:bCs/>
                <w:color w:val="000000"/>
                <w:sz w:val="20"/>
                <w:szCs w:val="20"/>
                <w:lang w:eastAsia="it-IT"/>
              </w:rPr>
              <w:t>D.R.G.</w:t>
            </w:r>
            <w:proofErr w:type="spellEnd"/>
            <w:r w:rsidRPr="00AE59EE">
              <w:rPr>
                <w:rFonts w:ascii="Times New Roman" w:eastAsia="Times New Roman" w:hAnsi="Times New Roman" w:cs="Times New Roman"/>
                <w:b/>
                <w:bCs/>
                <w:color w:val="000000"/>
                <w:sz w:val="20"/>
                <w:szCs w:val="20"/>
                <w:lang w:eastAsia="it-IT"/>
              </w:rPr>
              <w:t xml:space="preserve"> chirurgico</w:t>
            </w:r>
          </w:p>
        </w:tc>
        <w:tc>
          <w:tcPr>
            <w:tcW w:w="1180" w:type="dxa"/>
            <w:tcBorders>
              <w:top w:val="nil"/>
              <w:left w:val="nil"/>
              <w:bottom w:val="single" w:sz="8" w:space="0" w:color="0070C0"/>
              <w:right w:val="single" w:sz="8" w:space="0" w:color="0070C0"/>
            </w:tcBorders>
            <w:shd w:val="clear" w:color="auto" w:fill="auto"/>
            <w:noWrap/>
            <w:vAlign w:val="bottom"/>
            <w:hideMark/>
          </w:tcPr>
          <w:p w:rsidR="00850B0B" w:rsidRPr="00AE59EE" w:rsidRDefault="00850B0B" w:rsidP="00850B0B">
            <w:pPr>
              <w:rPr>
                <w:rFonts w:ascii="Times New Roman" w:eastAsia="Times New Roman" w:hAnsi="Times New Roman" w:cs="Times New Roman"/>
                <w:color w:val="000000"/>
                <w:lang w:eastAsia="it-IT"/>
              </w:rPr>
            </w:pPr>
            <w:r w:rsidRPr="00AE59EE">
              <w:rPr>
                <w:rFonts w:ascii="Times New Roman" w:eastAsia="Times New Roman" w:hAnsi="Times New Roman" w:cs="Times New Roman"/>
                <w:color w:val="000000"/>
                <w:lang w:eastAsia="it-IT"/>
              </w:rPr>
              <w:t> </w:t>
            </w:r>
          </w:p>
        </w:tc>
        <w:tc>
          <w:tcPr>
            <w:tcW w:w="1180" w:type="dxa"/>
            <w:tcBorders>
              <w:top w:val="nil"/>
              <w:left w:val="nil"/>
              <w:bottom w:val="single" w:sz="8" w:space="0" w:color="0070C0"/>
              <w:right w:val="single" w:sz="8" w:space="0" w:color="0070C0"/>
            </w:tcBorders>
            <w:shd w:val="clear" w:color="auto" w:fill="auto"/>
            <w:noWrap/>
            <w:vAlign w:val="bottom"/>
            <w:hideMark/>
          </w:tcPr>
          <w:p w:rsidR="00850B0B" w:rsidRPr="00AE59EE" w:rsidRDefault="00850B0B" w:rsidP="00850B0B">
            <w:pPr>
              <w:rPr>
                <w:rFonts w:ascii="Times New Roman" w:eastAsia="Times New Roman" w:hAnsi="Times New Roman" w:cs="Times New Roman"/>
                <w:color w:val="000000"/>
                <w:lang w:eastAsia="it-IT"/>
              </w:rPr>
            </w:pPr>
            <w:r w:rsidRPr="00AE59EE">
              <w:rPr>
                <w:rFonts w:ascii="Times New Roman" w:eastAsia="Times New Roman" w:hAnsi="Times New Roman" w:cs="Times New Roman"/>
                <w:color w:val="000000"/>
                <w:lang w:eastAsia="it-IT"/>
              </w:rPr>
              <w:t> </w:t>
            </w:r>
          </w:p>
        </w:tc>
        <w:tc>
          <w:tcPr>
            <w:tcW w:w="1024" w:type="dxa"/>
            <w:tcBorders>
              <w:top w:val="nil"/>
              <w:left w:val="nil"/>
              <w:bottom w:val="single" w:sz="8" w:space="0" w:color="0070C0"/>
              <w:right w:val="single" w:sz="8" w:space="0" w:color="0070C0"/>
            </w:tcBorders>
            <w:shd w:val="clear" w:color="auto" w:fill="auto"/>
            <w:noWrap/>
            <w:vAlign w:val="bottom"/>
            <w:hideMark/>
          </w:tcPr>
          <w:p w:rsidR="00850B0B" w:rsidRPr="00AE59EE" w:rsidRDefault="00850B0B" w:rsidP="00850B0B">
            <w:pPr>
              <w:rPr>
                <w:rFonts w:ascii="Times New Roman" w:eastAsia="Times New Roman" w:hAnsi="Times New Roman" w:cs="Times New Roman"/>
                <w:color w:val="000000"/>
                <w:lang w:eastAsia="it-IT"/>
              </w:rPr>
            </w:pPr>
            <w:r w:rsidRPr="00AE59EE">
              <w:rPr>
                <w:rFonts w:ascii="Times New Roman" w:eastAsia="Times New Roman" w:hAnsi="Times New Roman" w:cs="Times New Roman"/>
                <w:color w:val="000000"/>
                <w:lang w:eastAsia="it-IT"/>
              </w:rPr>
              <w:t> </w:t>
            </w:r>
          </w:p>
        </w:tc>
        <w:tc>
          <w:tcPr>
            <w:tcW w:w="1060" w:type="dxa"/>
            <w:tcBorders>
              <w:top w:val="nil"/>
              <w:left w:val="nil"/>
              <w:bottom w:val="single" w:sz="8" w:space="0" w:color="0070C0"/>
              <w:right w:val="single" w:sz="8" w:space="0" w:color="0070C0"/>
            </w:tcBorders>
            <w:shd w:val="clear" w:color="auto" w:fill="auto"/>
            <w:noWrap/>
            <w:vAlign w:val="bottom"/>
            <w:hideMark/>
          </w:tcPr>
          <w:p w:rsidR="00850B0B" w:rsidRPr="00AE59EE" w:rsidRDefault="00850B0B" w:rsidP="00850B0B">
            <w:pPr>
              <w:rPr>
                <w:rFonts w:ascii="Times New Roman" w:eastAsia="Times New Roman" w:hAnsi="Times New Roman" w:cs="Times New Roman"/>
                <w:color w:val="000000"/>
                <w:lang w:eastAsia="it-IT"/>
              </w:rPr>
            </w:pPr>
            <w:r w:rsidRPr="00AE59EE">
              <w:rPr>
                <w:rFonts w:ascii="Times New Roman" w:eastAsia="Times New Roman" w:hAnsi="Times New Roman" w:cs="Times New Roman"/>
                <w:color w:val="000000"/>
                <w:lang w:eastAsia="it-IT"/>
              </w:rPr>
              <w:t> </w:t>
            </w:r>
          </w:p>
        </w:tc>
      </w:tr>
      <w:tr w:rsidR="00850B0B" w:rsidRPr="00AE59EE" w:rsidTr="00850B0B">
        <w:trPr>
          <w:trHeight w:val="315"/>
          <w:jc w:val="center"/>
        </w:trPr>
        <w:tc>
          <w:tcPr>
            <w:tcW w:w="2880" w:type="dxa"/>
            <w:tcBorders>
              <w:top w:val="nil"/>
              <w:left w:val="single" w:sz="8" w:space="0" w:color="0070C0"/>
              <w:bottom w:val="single" w:sz="8" w:space="0" w:color="0070C0"/>
              <w:right w:val="single" w:sz="8" w:space="0" w:color="0070C0"/>
            </w:tcBorders>
            <w:shd w:val="clear" w:color="auto" w:fill="auto"/>
            <w:vAlign w:val="bottom"/>
            <w:hideMark/>
          </w:tcPr>
          <w:p w:rsidR="00850B0B" w:rsidRPr="00AE59EE" w:rsidRDefault="00850B0B" w:rsidP="00850B0B">
            <w:pPr>
              <w:jc w:val="right"/>
              <w:rPr>
                <w:rFonts w:ascii="Times New Roman" w:eastAsia="Times New Roman" w:hAnsi="Times New Roman" w:cs="Times New Roman"/>
                <w:color w:val="000000"/>
                <w:sz w:val="20"/>
                <w:szCs w:val="20"/>
                <w:lang w:eastAsia="it-IT"/>
              </w:rPr>
            </w:pPr>
            <w:proofErr w:type="spellStart"/>
            <w:r w:rsidRPr="00AE59EE">
              <w:rPr>
                <w:rFonts w:ascii="Times New Roman" w:eastAsia="Times New Roman" w:hAnsi="Times New Roman" w:cs="Times New Roman"/>
                <w:color w:val="000000"/>
                <w:sz w:val="20"/>
                <w:szCs w:val="20"/>
                <w:lang w:eastAsia="it-IT"/>
              </w:rPr>
              <w:t>Day</w:t>
            </w:r>
            <w:proofErr w:type="spellEnd"/>
            <w:r w:rsidRPr="00AE59EE">
              <w:rPr>
                <w:rFonts w:ascii="Times New Roman" w:eastAsia="Times New Roman" w:hAnsi="Times New Roman" w:cs="Times New Roman"/>
                <w:color w:val="000000"/>
                <w:sz w:val="20"/>
                <w:szCs w:val="20"/>
                <w:lang w:eastAsia="it-IT"/>
              </w:rPr>
              <w:t xml:space="preserve"> </w:t>
            </w:r>
            <w:proofErr w:type="spellStart"/>
            <w:r w:rsidRPr="00AE59EE">
              <w:rPr>
                <w:rFonts w:ascii="Times New Roman" w:eastAsia="Times New Roman" w:hAnsi="Times New Roman" w:cs="Times New Roman"/>
                <w:color w:val="000000"/>
                <w:sz w:val="20"/>
                <w:szCs w:val="20"/>
                <w:lang w:eastAsia="it-IT"/>
              </w:rPr>
              <w:t>surgery</w:t>
            </w:r>
            <w:proofErr w:type="spellEnd"/>
          </w:p>
        </w:tc>
        <w:tc>
          <w:tcPr>
            <w:tcW w:w="1180"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right"/>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000000"/>
                <w:sz w:val="20"/>
                <w:szCs w:val="20"/>
                <w:lang w:eastAsia="it-IT"/>
              </w:rPr>
              <w:t>206</w:t>
            </w:r>
          </w:p>
        </w:tc>
        <w:tc>
          <w:tcPr>
            <w:tcW w:w="1180"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right"/>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000000"/>
                <w:sz w:val="20"/>
                <w:szCs w:val="20"/>
                <w:lang w:eastAsia="it-IT"/>
              </w:rPr>
              <w:t>295</w:t>
            </w:r>
          </w:p>
        </w:tc>
        <w:tc>
          <w:tcPr>
            <w:tcW w:w="1024"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right"/>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000000"/>
                <w:sz w:val="20"/>
                <w:szCs w:val="20"/>
                <w:lang w:eastAsia="it-IT"/>
              </w:rPr>
              <w:t>89</w:t>
            </w:r>
          </w:p>
        </w:tc>
        <w:tc>
          <w:tcPr>
            <w:tcW w:w="1060"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right"/>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000000"/>
                <w:sz w:val="20"/>
                <w:szCs w:val="20"/>
                <w:lang w:eastAsia="it-IT"/>
              </w:rPr>
              <w:t>43,20%</w:t>
            </w:r>
          </w:p>
        </w:tc>
      </w:tr>
      <w:tr w:rsidR="00850B0B" w:rsidRPr="00AE59EE" w:rsidTr="00850B0B">
        <w:trPr>
          <w:trHeight w:val="315"/>
          <w:jc w:val="center"/>
        </w:trPr>
        <w:tc>
          <w:tcPr>
            <w:tcW w:w="2880" w:type="dxa"/>
            <w:tcBorders>
              <w:top w:val="nil"/>
              <w:left w:val="single" w:sz="8" w:space="0" w:color="0070C0"/>
              <w:bottom w:val="single" w:sz="8" w:space="0" w:color="0070C0"/>
              <w:right w:val="single" w:sz="8" w:space="0" w:color="0070C0"/>
            </w:tcBorders>
            <w:shd w:val="clear" w:color="auto" w:fill="auto"/>
            <w:vAlign w:val="bottom"/>
            <w:hideMark/>
          </w:tcPr>
          <w:p w:rsidR="00850B0B" w:rsidRPr="00AE59EE" w:rsidRDefault="00850B0B" w:rsidP="00850B0B">
            <w:pPr>
              <w:jc w:val="right"/>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000000"/>
                <w:sz w:val="20"/>
                <w:szCs w:val="20"/>
                <w:lang w:eastAsia="it-IT"/>
              </w:rPr>
              <w:t xml:space="preserve">altri </w:t>
            </w:r>
            <w:proofErr w:type="spellStart"/>
            <w:r w:rsidRPr="00AE59EE">
              <w:rPr>
                <w:rFonts w:ascii="Times New Roman" w:eastAsia="Times New Roman" w:hAnsi="Times New Roman" w:cs="Times New Roman"/>
                <w:color w:val="000000"/>
                <w:sz w:val="20"/>
                <w:szCs w:val="20"/>
                <w:lang w:eastAsia="it-IT"/>
              </w:rPr>
              <w:t>day</w:t>
            </w:r>
            <w:proofErr w:type="spellEnd"/>
            <w:r w:rsidRPr="00AE59EE">
              <w:rPr>
                <w:rFonts w:ascii="Times New Roman" w:eastAsia="Times New Roman" w:hAnsi="Times New Roman" w:cs="Times New Roman"/>
                <w:color w:val="000000"/>
                <w:sz w:val="20"/>
                <w:szCs w:val="20"/>
                <w:lang w:eastAsia="it-IT"/>
              </w:rPr>
              <w:t xml:space="preserve"> hospital</w:t>
            </w:r>
          </w:p>
        </w:tc>
        <w:tc>
          <w:tcPr>
            <w:tcW w:w="1180"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right"/>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000000"/>
                <w:sz w:val="20"/>
                <w:szCs w:val="20"/>
                <w:lang w:eastAsia="it-IT"/>
              </w:rPr>
              <w:t>486</w:t>
            </w:r>
          </w:p>
        </w:tc>
        <w:tc>
          <w:tcPr>
            <w:tcW w:w="1180"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right"/>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000000"/>
                <w:sz w:val="20"/>
                <w:szCs w:val="20"/>
                <w:lang w:eastAsia="it-IT"/>
              </w:rPr>
              <w:t>524</w:t>
            </w:r>
          </w:p>
        </w:tc>
        <w:tc>
          <w:tcPr>
            <w:tcW w:w="1024"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right"/>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000000"/>
                <w:sz w:val="20"/>
                <w:szCs w:val="20"/>
                <w:lang w:eastAsia="it-IT"/>
              </w:rPr>
              <w:t>38</w:t>
            </w:r>
          </w:p>
        </w:tc>
        <w:tc>
          <w:tcPr>
            <w:tcW w:w="1060"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right"/>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000000"/>
                <w:sz w:val="20"/>
                <w:szCs w:val="20"/>
                <w:lang w:eastAsia="it-IT"/>
              </w:rPr>
              <w:t>7,80%</w:t>
            </w:r>
          </w:p>
        </w:tc>
      </w:tr>
      <w:tr w:rsidR="00850B0B" w:rsidRPr="00AE59EE" w:rsidTr="00850B0B">
        <w:trPr>
          <w:trHeight w:val="315"/>
          <w:jc w:val="center"/>
        </w:trPr>
        <w:tc>
          <w:tcPr>
            <w:tcW w:w="2880" w:type="dxa"/>
            <w:tcBorders>
              <w:top w:val="nil"/>
              <w:left w:val="single" w:sz="8" w:space="0" w:color="0070C0"/>
              <w:bottom w:val="single" w:sz="8" w:space="0" w:color="0070C0"/>
              <w:right w:val="single" w:sz="8" w:space="0" w:color="0070C0"/>
            </w:tcBorders>
            <w:shd w:val="clear" w:color="000000" w:fill="C6D9F1"/>
            <w:vAlign w:val="bottom"/>
            <w:hideMark/>
          </w:tcPr>
          <w:p w:rsidR="00850B0B" w:rsidRPr="00AE59EE" w:rsidRDefault="00850B0B" w:rsidP="00850B0B">
            <w:pPr>
              <w:jc w:val="center"/>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TOTALI</w:t>
            </w:r>
          </w:p>
        </w:tc>
        <w:tc>
          <w:tcPr>
            <w:tcW w:w="1180" w:type="dxa"/>
            <w:tcBorders>
              <w:top w:val="nil"/>
              <w:left w:val="nil"/>
              <w:bottom w:val="single" w:sz="8" w:space="0" w:color="0070C0"/>
              <w:right w:val="single" w:sz="8" w:space="0" w:color="0070C0"/>
            </w:tcBorders>
            <w:shd w:val="clear" w:color="000000" w:fill="C6D9F1"/>
            <w:vAlign w:val="bottom"/>
            <w:hideMark/>
          </w:tcPr>
          <w:p w:rsidR="00850B0B" w:rsidRPr="00AE59EE" w:rsidRDefault="00850B0B" w:rsidP="00850B0B">
            <w:pPr>
              <w:jc w:val="right"/>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3.430</w:t>
            </w:r>
          </w:p>
        </w:tc>
        <w:tc>
          <w:tcPr>
            <w:tcW w:w="1180" w:type="dxa"/>
            <w:tcBorders>
              <w:top w:val="nil"/>
              <w:left w:val="nil"/>
              <w:bottom w:val="single" w:sz="8" w:space="0" w:color="0070C0"/>
              <w:right w:val="single" w:sz="8" w:space="0" w:color="0070C0"/>
            </w:tcBorders>
            <w:shd w:val="clear" w:color="000000" w:fill="C6D9F1"/>
            <w:vAlign w:val="bottom"/>
            <w:hideMark/>
          </w:tcPr>
          <w:p w:rsidR="00850B0B" w:rsidRPr="00AE59EE" w:rsidRDefault="00850B0B" w:rsidP="00850B0B">
            <w:pPr>
              <w:jc w:val="right"/>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2.807</w:t>
            </w:r>
          </w:p>
        </w:tc>
        <w:tc>
          <w:tcPr>
            <w:tcW w:w="1024"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right"/>
              <w:rPr>
                <w:rFonts w:ascii="Times New Roman" w:eastAsia="Times New Roman" w:hAnsi="Times New Roman" w:cs="Times New Roman"/>
                <w:b/>
                <w:bCs/>
                <w:color w:val="FF0000"/>
                <w:sz w:val="20"/>
                <w:szCs w:val="20"/>
                <w:lang w:eastAsia="it-IT"/>
              </w:rPr>
            </w:pPr>
            <w:r w:rsidRPr="00AE59EE">
              <w:rPr>
                <w:rFonts w:ascii="Times New Roman" w:eastAsia="Times New Roman" w:hAnsi="Times New Roman" w:cs="Times New Roman"/>
                <w:b/>
                <w:bCs/>
                <w:color w:val="FF0000"/>
                <w:sz w:val="20"/>
                <w:szCs w:val="20"/>
                <w:lang w:eastAsia="it-IT"/>
              </w:rPr>
              <w:t>-623</w:t>
            </w:r>
          </w:p>
        </w:tc>
        <w:tc>
          <w:tcPr>
            <w:tcW w:w="1060"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right"/>
              <w:rPr>
                <w:rFonts w:ascii="Times New Roman" w:eastAsia="Times New Roman" w:hAnsi="Times New Roman" w:cs="Times New Roman"/>
                <w:b/>
                <w:bCs/>
                <w:color w:val="FF0000"/>
                <w:sz w:val="20"/>
                <w:szCs w:val="20"/>
                <w:lang w:eastAsia="it-IT"/>
              </w:rPr>
            </w:pPr>
            <w:r w:rsidRPr="00AE59EE">
              <w:rPr>
                <w:rFonts w:ascii="Times New Roman" w:eastAsia="Times New Roman" w:hAnsi="Times New Roman" w:cs="Times New Roman"/>
                <w:b/>
                <w:bCs/>
                <w:color w:val="FF0000"/>
                <w:sz w:val="20"/>
                <w:szCs w:val="20"/>
                <w:lang w:eastAsia="it-IT"/>
              </w:rPr>
              <w:t>-18,20%</w:t>
            </w:r>
          </w:p>
        </w:tc>
      </w:tr>
      <w:tr w:rsidR="00850B0B" w:rsidRPr="00AE59EE" w:rsidTr="00850B0B">
        <w:trPr>
          <w:trHeight w:val="315"/>
          <w:jc w:val="center"/>
        </w:trPr>
        <w:tc>
          <w:tcPr>
            <w:tcW w:w="2880" w:type="dxa"/>
            <w:tcBorders>
              <w:top w:val="nil"/>
              <w:left w:val="nil"/>
              <w:bottom w:val="nil"/>
              <w:right w:val="nil"/>
            </w:tcBorders>
            <w:shd w:val="clear" w:color="auto" w:fill="auto"/>
            <w:noWrap/>
            <w:vAlign w:val="bottom"/>
            <w:hideMark/>
          </w:tcPr>
          <w:p w:rsidR="00850B0B" w:rsidRPr="00AE59EE" w:rsidRDefault="00850B0B" w:rsidP="00850B0B">
            <w:pPr>
              <w:rPr>
                <w:rFonts w:ascii="Times New Roman" w:eastAsia="Times New Roman" w:hAnsi="Times New Roman" w:cs="Times New Roman"/>
                <w:color w:val="000000"/>
                <w:sz w:val="24"/>
                <w:szCs w:val="24"/>
                <w:lang w:eastAsia="it-IT"/>
              </w:rPr>
            </w:pPr>
          </w:p>
        </w:tc>
        <w:tc>
          <w:tcPr>
            <w:tcW w:w="1180" w:type="dxa"/>
            <w:tcBorders>
              <w:top w:val="nil"/>
              <w:left w:val="nil"/>
              <w:bottom w:val="nil"/>
              <w:right w:val="nil"/>
            </w:tcBorders>
            <w:shd w:val="clear" w:color="auto" w:fill="auto"/>
            <w:noWrap/>
            <w:vAlign w:val="bottom"/>
            <w:hideMark/>
          </w:tcPr>
          <w:p w:rsidR="00850B0B" w:rsidRPr="00AE59EE" w:rsidRDefault="00850B0B" w:rsidP="00850B0B">
            <w:pPr>
              <w:rPr>
                <w:rFonts w:ascii="Times New Roman" w:eastAsia="Times New Roman" w:hAnsi="Times New Roman" w:cs="Times New Roman"/>
                <w:color w:val="000000"/>
                <w:lang w:eastAsia="it-IT"/>
              </w:rPr>
            </w:pPr>
          </w:p>
        </w:tc>
        <w:tc>
          <w:tcPr>
            <w:tcW w:w="1180" w:type="dxa"/>
            <w:tcBorders>
              <w:top w:val="nil"/>
              <w:left w:val="nil"/>
              <w:bottom w:val="nil"/>
              <w:right w:val="nil"/>
            </w:tcBorders>
            <w:shd w:val="clear" w:color="auto" w:fill="auto"/>
            <w:noWrap/>
            <w:vAlign w:val="bottom"/>
            <w:hideMark/>
          </w:tcPr>
          <w:p w:rsidR="00850B0B" w:rsidRPr="00AE59EE" w:rsidRDefault="00850B0B" w:rsidP="00850B0B">
            <w:pPr>
              <w:rPr>
                <w:rFonts w:ascii="Times New Roman" w:eastAsia="Times New Roman" w:hAnsi="Times New Roman" w:cs="Times New Roman"/>
                <w:color w:val="000000"/>
                <w:lang w:eastAsia="it-IT"/>
              </w:rPr>
            </w:pPr>
          </w:p>
        </w:tc>
        <w:tc>
          <w:tcPr>
            <w:tcW w:w="1024" w:type="dxa"/>
            <w:tcBorders>
              <w:top w:val="nil"/>
              <w:left w:val="nil"/>
              <w:bottom w:val="nil"/>
              <w:right w:val="nil"/>
            </w:tcBorders>
            <w:shd w:val="clear" w:color="auto" w:fill="auto"/>
            <w:noWrap/>
            <w:vAlign w:val="bottom"/>
            <w:hideMark/>
          </w:tcPr>
          <w:p w:rsidR="00850B0B" w:rsidRPr="00AE59EE" w:rsidRDefault="00850B0B" w:rsidP="00850B0B">
            <w:pPr>
              <w:rPr>
                <w:rFonts w:ascii="Times New Roman" w:eastAsia="Times New Roman" w:hAnsi="Times New Roman" w:cs="Times New Roman"/>
                <w:color w:val="000000"/>
                <w:lang w:eastAsia="it-IT"/>
              </w:rPr>
            </w:pPr>
          </w:p>
        </w:tc>
        <w:tc>
          <w:tcPr>
            <w:tcW w:w="1060" w:type="dxa"/>
            <w:tcBorders>
              <w:top w:val="nil"/>
              <w:left w:val="nil"/>
              <w:bottom w:val="nil"/>
              <w:right w:val="nil"/>
            </w:tcBorders>
            <w:shd w:val="clear" w:color="auto" w:fill="auto"/>
            <w:noWrap/>
            <w:vAlign w:val="bottom"/>
            <w:hideMark/>
          </w:tcPr>
          <w:p w:rsidR="00850B0B" w:rsidRPr="00AE59EE" w:rsidRDefault="00850B0B" w:rsidP="00850B0B">
            <w:pPr>
              <w:rPr>
                <w:rFonts w:ascii="Times New Roman" w:eastAsia="Times New Roman" w:hAnsi="Times New Roman" w:cs="Times New Roman"/>
                <w:color w:val="000000"/>
                <w:lang w:eastAsia="it-IT"/>
              </w:rPr>
            </w:pPr>
          </w:p>
        </w:tc>
      </w:tr>
      <w:tr w:rsidR="00850B0B" w:rsidRPr="00AE59EE" w:rsidTr="00850B0B">
        <w:trPr>
          <w:trHeight w:val="315"/>
          <w:jc w:val="center"/>
        </w:trPr>
        <w:tc>
          <w:tcPr>
            <w:tcW w:w="7324" w:type="dxa"/>
            <w:gridSpan w:val="5"/>
            <w:tcBorders>
              <w:top w:val="single" w:sz="8" w:space="0" w:color="0070C0"/>
              <w:left w:val="single" w:sz="8" w:space="0" w:color="0070C0"/>
              <w:bottom w:val="single" w:sz="8" w:space="0" w:color="0070C0"/>
              <w:right w:val="single" w:sz="8" w:space="0" w:color="0070C0"/>
            </w:tcBorders>
            <w:shd w:val="clear" w:color="000000" w:fill="C6D9F1"/>
            <w:vAlign w:val="bottom"/>
            <w:hideMark/>
          </w:tcPr>
          <w:p w:rsidR="00850B0B" w:rsidRPr="00AE59EE" w:rsidRDefault="00850B0B" w:rsidP="00850B0B">
            <w:pPr>
              <w:jc w:val="center"/>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Tasso di ricovero diurno di tipo diagnostico (fonte piano controlli)</w:t>
            </w:r>
          </w:p>
        </w:tc>
      </w:tr>
      <w:tr w:rsidR="00850B0B" w:rsidRPr="00AE59EE" w:rsidTr="00850B0B">
        <w:trPr>
          <w:trHeight w:val="315"/>
          <w:jc w:val="center"/>
        </w:trPr>
        <w:tc>
          <w:tcPr>
            <w:tcW w:w="2880" w:type="dxa"/>
            <w:tcBorders>
              <w:top w:val="nil"/>
              <w:left w:val="single" w:sz="8" w:space="0" w:color="0070C0"/>
              <w:bottom w:val="single" w:sz="8" w:space="0" w:color="0070C0"/>
              <w:right w:val="single" w:sz="8" w:space="0" w:color="0070C0"/>
            </w:tcBorders>
            <w:shd w:val="clear" w:color="000000" w:fill="C6D9F1"/>
            <w:vAlign w:val="bottom"/>
            <w:hideMark/>
          </w:tcPr>
          <w:p w:rsidR="00850B0B" w:rsidRPr="00AE59EE" w:rsidRDefault="00850B0B" w:rsidP="00850B0B">
            <w:pPr>
              <w:jc w:val="center"/>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 </w:t>
            </w:r>
          </w:p>
        </w:tc>
        <w:tc>
          <w:tcPr>
            <w:tcW w:w="1180" w:type="dxa"/>
            <w:tcBorders>
              <w:top w:val="nil"/>
              <w:left w:val="nil"/>
              <w:bottom w:val="single" w:sz="8" w:space="0" w:color="0070C0"/>
              <w:right w:val="single" w:sz="8" w:space="0" w:color="0070C0"/>
            </w:tcBorders>
            <w:shd w:val="clear" w:color="000000" w:fill="C6D9F1"/>
            <w:vAlign w:val="bottom"/>
            <w:hideMark/>
          </w:tcPr>
          <w:p w:rsidR="00850B0B" w:rsidRPr="00AE59EE" w:rsidRDefault="00850B0B" w:rsidP="00850B0B">
            <w:pPr>
              <w:jc w:val="center"/>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2013</w:t>
            </w:r>
          </w:p>
        </w:tc>
        <w:tc>
          <w:tcPr>
            <w:tcW w:w="1180" w:type="dxa"/>
            <w:tcBorders>
              <w:top w:val="nil"/>
              <w:left w:val="nil"/>
              <w:bottom w:val="single" w:sz="8" w:space="0" w:color="0070C0"/>
              <w:right w:val="single" w:sz="8" w:space="0" w:color="0070C0"/>
            </w:tcBorders>
            <w:shd w:val="clear" w:color="000000" w:fill="C6D9F1"/>
            <w:vAlign w:val="bottom"/>
            <w:hideMark/>
          </w:tcPr>
          <w:p w:rsidR="00850B0B" w:rsidRPr="00AE59EE" w:rsidRDefault="00850B0B" w:rsidP="00850B0B">
            <w:pPr>
              <w:jc w:val="center"/>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2014</w:t>
            </w:r>
          </w:p>
        </w:tc>
        <w:tc>
          <w:tcPr>
            <w:tcW w:w="1024" w:type="dxa"/>
            <w:tcBorders>
              <w:top w:val="nil"/>
              <w:left w:val="nil"/>
              <w:bottom w:val="single" w:sz="8" w:space="0" w:color="0070C0"/>
              <w:right w:val="single" w:sz="8" w:space="0" w:color="0070C0"/>
            </w:tcBorders>
            <w:shd w:val="clear" w:color="000000" w:fill="C6D9F1"/>
            <w:vAlign w:val="bottom"/>
            <w:hideMark/>
          </w:tcPr>
          <w:p w:rsidR="00850B0B" w:rsidRPr="00AE59EE" w:rsidRDefault="00850B0B" w:rsidP="00850B0B">
            <w:pPr>
              <w:jc w:val="center"/>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2015</w:t>
            </w:r>
          </w:p>
        </w:tc>
        <w:tc>
          <w:tcPr>
            <w:tcW w:w="1060" w:type="dxa"/>
            <w:tcBorders>
              <w:top w:val="nil"/>
              <w:left w:val="nil"/>
              <w:bottom w:val="single" w:sz="8" w:space="0" w:color="0070C0"/>
              <w:right w:val="single" w:sz="8" w:space="0" w:color="0070C0"/>
            </w:tcBorders>
            <w:shd w:val="clear" w:color="000000" w:fill="FFFFFF"/>
            <w:vAlign w:val="bottom"/>
            <w:hideMark/>
          </w:tcPr>
          <w:p w:rsidR="00850B0B" w:rsidRPr="00AE59EE" w:rsidRDefault="00850B0B" w:rsidP="00850B0B">
            <w:pPr>
              <w:jc w:val="center"/>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Var. %</w:t>
            </w:r>
          </w:p>
        </w:tc>
      </w:tr>
      <w:tr w:rsidR="00850B0B" w:rsidRPr="00AE59EE" w:rsidTr="00850B0B">
        <w:trPr>
          <w:trHeight w:val="315"/>
          <w:jc w:val="center"/>
        </w:trPr>
        <w:tc>
          <w:tcPr>
            <w:tcW w:w="2880" w:type="dxa"/>
            <w:tcBorders>
              <w:top w:val="nil"/>
              <w:left w:val="single" w:sz="8" w:space="0" w:color="0070C0"/>
              <w:bottom w:val="single" w:sz="8" w:space="0" w:color="0070C0"/>
              <w:right w:val="single" w:sz="8" w:space="0" w:color="0070C0"/>
            </w:tcBorders>
            <w:shd w:val="clear" w:color="auto" w:fill="auto"/>
            <w:vAlign w:val="bottom"/>
            <w:hideMark/>
          </w:tcPr>
          <w:p w:rsidR="00850B0B" w:rsidRPr="00AE59EE" w:rsidRDefault="00850B0B" w:rsidP="00850B0B">
            <w:pPr>
              <w:jc w:val="center"/>
              <w:rPr>
                <w:rFonts w:ascii="Times New Roman" w:eastAsia="Times New Roman" w:hAnsi="Times New Roman" w:cs="Times New Roman"/>
                <w:color w:val="000000"/>
                <w:sz w:val="20"/>
                <w:szCs w:val="20"/>
                <w:lang w:eastAsia="it-IT"/>
              </w:rPr>
            </w:pPr>
            <w:proofErr w:type="spellStart"/>
            <w:r w:rsidRPr="00AE59EE">
              <w:rPr>
                <w:rFonts w:ascii="Times New Roman" w:eastAsia="Times New Roman" w:hAnsi="Times New Roman" w:cs="Times New Roman"/>
                <w:color w:val="000000"/>
                <w:sz w:val="20"/>
                <w:szCs w:val="20"/>
                <w:lang w:eastAsia="it-IT"/>
              </w:rPr>
              <w:t>dh</w:t>
            </w:r>
            <w:proofErr w:type="spellEnd"/>
            <w:r w:rsidRPr="00AE59EE">
              <w:rPr>
                <w:rFonts w:ascii="Times New Roman" w:eastAsia="Times New Roman" w:hAnsi="Times New Roman" w:cs="Times New Roman"/>
                <w:color w:val="000000"/>
                <w:sz w:val="20"/>
                <w:szCs w:val="20"/>
                <w:lang w:eastAsia="it-IT"/>
              </w:rPr>
              <w:t xml:space="preserve"> diagnostico/</w:t>
            </w:r>
            <w:proofErr w:type="spellStart"/>
            <w:r w:rsidRPr="00AE59EE">
              <w:rPr>
                <w:rFonts w:ascii="Times New Roman" w:eastAsia="Times New Roman" w:hAnsi="Times New Roman" w:cs="Times New Roman"/>
                <w:color w:val="000000"/>
                <w:sz w:val="20"/>
                <w:szCs w:val="20"/>
                <w:lang w:eastAsia="it-IT"/>
              </w:rPr>
              <w:t>dh</w:t>
            </w:r>
            <w:proofErr w:type="spellEnd"/>
          </w:p>
        </w:tc>
        <w:tc>
          <w:tcPr>
            <w:tcW w:w="1180"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center"/>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000000"/>
                <w:sz w:val="20"/>
                <w:szCs w:val="20"/>
                <w:lang w:eastAsia="it-IT"/>
              </w:rPr>
              <w:t>30,32%</w:t>
            </w:r>
          </w:p>
        </w:tc>
        <w:tc>
          <w:tcPr>
            <w:tcW w:w="1180"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center"/>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000000"/>
                <w:sz w:val="20"/>
                <w:szCs w:val="20"/>
                <w:lang w:eastAsia="it-IT"/>
              </w:rPr>
              <w:t>12,27%</w:t>
            </w:r>
          </w:p>
        </w:tc>
        <w:tc>
          <w:tcPr>
            <w:tcW w:w="1024"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center"/>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000000"/>
                <w:sz w:val="20"/>
                <w:szCs w:val="20"/>
                <w:lang w:eastAsia="it-IT"/>
              </w:rPr>
              <w:t>0,35%</w:t>
            </w:r>
          </w:p>
        </w:tc>
        <w:tc>
          <w:tcPr>
            <w:tcW w:w="1060"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center"/>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000000"/>
                <w:sz w:val="20"/>
                <w:szCs w:val="20"/>
                <w:lang w:eastAsia="it-IT"/>
              </w:rPr>
              <w:t>-97,15%</w:t>
            </w:r>
          </w:p>
        </w:tc>
      </w:tr>
      <w:tr w:rsidR="00850B0B" w:rsidRPr="00AE59EE" w:rsidTr="00850B0B">
        <w:trPr>
          <w:trHeight w:val="315"/>
          <w:jc w:val="center"/>
        </w:trPr>
        <w:tc>
          <w:tcPr>
            <w:tcW w:w="2880" w:type="dxa"/>
            <w:tcBorders>
              <w:top w:val="nil"/>
              <w:left w:val="nil"/>
              <w:bottom w:val="single" w:sz="8" w:space="0" w:color="0070C0"/>
              <w:right w:val="nil"/>
            </w:tcBorders>
            <w:shd w:val="clear" w:color="auto" w:fill="auto"/>
            <w:noWrap/>
            <w:vAlign w:val="bottom"/>
            <w:hideMark/>
          </w:tcPr>
          <w:p w:rsidR="00850B0B" w:rsidRPr="00AE59EE" w:rsidRDefault="00850B0B" w:rsidP="00850B0B">
            <w:pPr>
              <w:rPr>
                <w:rFonts w:ascii="Times New Roman" w:eastAsia="Times New Roman" w:hAnsi="Times New Roman" w:cs="Times New Roman"/>
                <w:color w:val="000000"/>
                <w:sz w:val="24"/>
                <w:szCs w:val="24"/>
                <w:lang w:eastAsia="it-IT"/>
              </w:rPr>
            </w:pPr>
          </w:p>
        </w:tc>
        <w:tc>
          <w:tcPr>
            <w:tcW w:w="1180" w:type="dxa"/>
            <w:tcBorders>
              <w:top w:val="nil"/>
              <w:left w:val="nil"/>
              <w:bottom w:val="single" w:sz="8" w:space="0" w:color="0070C0"/>
              <w:right w:val="nil"/>
            </w:tcBorders>
            <w:shd w:val="clear" w:color="auto" w:fill="auto"/>
            <w:noWrap/>
            <w:vAlign w:val="bottom"/>
            <w:hideMark/>
          </w:tcPr>
          <w:p w:rsidR="00850B0B" w:rsidRPr="00AE59EE" w:rsidRDefault="00850B0B" w:rsidP="00850B0B">
            <w:pPr>
              <w:rPr>
                <w:rFonts w:ascii="Times New Roman" w:eastAsia="Times New Roman" w:hAnsi="Times New Roman" w:cs="Times New Roman"/>
                <w:color w:val="000000"/>
                <w:lang w:eastAsia="it-IT"/>
              </w:rPr>
            </w:pPr>
          </w:p>
        </w:tc>
        <w:tc>
          <w:tcPr>
            <w:tcW w:w="1180" w:type="dxa"/>
            <w:tcBorders>
              <w:top w:val="nil"/>
              <w:left w:val="nil"/>
              <w:bottom w:val="single" w:sz="8" w:space="0" w:color="0070C0"/>
              <w:right w:val="nil"/>
            </w:tcBorders>
            <w:shd w:val="clear" w:color="auto" w:fill="auto"/>
            <w:noWrap/>
            <w:vAlign w:val="bottom"/>
            <w:hideMark/>
          </w:tcPr>
          <w:p w:rsidR="00850B0B" w:rsidRPr="00AE59EE" w:rsidRDefault="00850B0B" w:rsidP="00850B0B">
            <w:pPr>
              <w:rPr>
                <w:rFonts w:ascii="Times New Roman" w:eastAsia="Times New Roman" w:hAnsi="Times New Roman" w:cs="Times New Roman"/>
                <w:color w:val="000000"/>
                <w:lang w:eastAsia="it-IT"/>
              </w:rPr>
            </w:pPr>
          </w:p>
        </w:tc>
        <w:tc>
          <w:tcPr>
            <w:tcW w:w="1024" w:type="dxa"/>
            <w:tcBorders>
              <w:top w:val="nil"/>
              <w:left w:val="nil"/>
              <w:bottom w:val="nil"/>
              <w:right w:val="nil"/>
            </w:tcBorders>
            <w:shd w:val="clear" w:color="auto" w:fill="auto"/>
            <w:noWrap/>
            <w:vAlign w:val="bottom"/>
            <w:hideMark/>
          </w:tcPr>
          <w:p w:rsidR="00850B0B" w:rsidRPr="00AE59EE" w:rsidRDefault="00850B0B" w:rsidP="00850B0B">
            <w:pPr>
              <w:rPr>
                <w:rFonts w:ascii="Times New Roman" w:eastAsia="Times New Roman" w:hAnsi="Times New Roman" w:cs="Times New Roman"/>
                <w:color w:val="000000"/>
                <w:lang w:eastAsia="it-IT"/>
              </w:rPr>
            </w:pPr>
          </w:p>
        </w:tc>
        <w:tc>
          <w:tcPr>
            <w:tcW w:w="1060" w:type="dxa"/>
            <w:tcBorders>
              <w:top w:val="nil"/>
              <w:left w:val="nil"/>
              <w:bottom w:val="nil"/>
              <w:right w:val="nil"/>
            </w:tcBorders>
            <w:shd w:val="clear" w:color="auto" w:fill="auto"/>
            <w:noWrap/>
            <w:vAlign w:val="bottom"/>
            <w:hideMark/>
          </w:tcPr>
          <w:p w:rsidR="00850B0B" w:rsidRPr="00AE59EE" w:rsidRDefault="00850B0B" w:rsidP="00850B0B">
            <w:pPr>
              <w:rPr>
                <w:rFonts w:ascii="Times New Roman" w:eastAsia="Times New Roman" w:hAnsi="Times New Roman" w:cs="Times New Roman"/>
                <w:color w:val="000000"/>
                <w:lang w:eastAsia="it-IT"/>
              </w:rPr>
            </w:pPr>
          </w:p>
        </w:tc>
      </w:tr>
      <w:tr w:rsidR="00850B0B" w:rsidRPr="00AE59EE" w:rsidTr="00850B0B">
        <w:trPr>
          <w:trHeight w:val="540"/>
          <w:jc w:val="center"/>
        </w:trPr>
        <w:tc>
          <w:tcPr>
            <w:tcW w:w="2880" w:type="dxa"/>
            <w:tcBorders>
              <w:top w:val="single" w:sz="8" w:space="0" w:color="0070C0"/>
              <w:left w:val="single" w:sz="8" w:space="0" w:color="0070C0"/>
              <w:bottom w:val="single" w:sz="8" w:space="0" w:color="0070C0"/>
              <w:right w:val="single" w:sz="8" w:space="0" w:color="0070C0"/>
            </w:tcBorders>
            <w:shd w:val="clear" w:color="000000" w:fill="C6D9F1"/>
            <w:vAlign w:val="bottom"/>
            <w:hideMark/>
          </w:tcPr>
          <w:p w:rsidR="00850B0B" w:rsidRPr="00AE59EE" w:rsidRDefault="00850B0B" w:rsidP="00850B0B">
            <w:pPr>
              <w:jc w:val="center"/>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Percentuali dimessi per provenienza paziente</w:t>
            </w:r>
          </w:p>
        </w:tc>
        <w:tc>
          <w:tcPr>
            <w:tcW w:w="1180" w:type="dxa"/>
            <w:tcBorders>
              <w:top w:val="single" w:sz="8" w:space="0" w:color="0070C0"/>
              <w:left w:val="nil"/>
              <w:bottom w:val="single" w:sz="8" w:space="0" w:color="0070C0"/>
              <w:right w:val="single" w:sz="8" w:space="0" w:color="0070C0"/>
            </w:tcBorders>
            <w:shd w:val="clear" w:color="000000" w:fill="C6D9F1"/>
            <w:vAlign w:val="bottom"/>
            <w:hideMark/>
          </w:tcPr>
          <w:p w:rsidR="00850B0B" w:rsidRPr="00AE59EE" w:rsidRDefault="00850B0B" w:rsidP="00850B0B">
            <w:pPr>
              <w:jc w:val="center"/>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2014</w:t>
            </w:r>
          </w:p>
        </w:tc>
        <w:tc>
          <w:tcPr>
            <w:tcW w:w="1180" w:type="dxa"/>
            <w:tcBorders>
              <w:top w:val="single" w:sz="8" w:space="0" w:color="0070C0"/>
              <w:left w:val="nil"/>
              <w:bottom w:val="single" w:sz="8" w:space="0" w:color="0070C0"/>
              <w:right w:val="single" w:sz="8" w:space="0" w:color="0070C0"/>
            </w:tcBorders>
            <w:shd w:val="clear" w:color="000000" w:fill="C6D9F1"/>
            <w:vAlign w:val="bottom"/>
            <w:hideMark/>
          </w:tcPr>
          <w:p w:rsidR="00850B0B" w:rsidRPr="00AE59EE" w:rsidRDefault="00850B0B" w:rsidP="00850B0B">
            <w:pPr>
              <w:jc w:val="center"/>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2015</w:t>
            </w:r>
          </w:p>
        </w:tc>
        <w:tc>
          <w:tcPr>
            <w:tcW w:w="1024" w:type="dxa"/>
            <w:tcBorders>
              <w:top w:val="nil"/>
              <w:left w:val="nil"/>
              <w:bottom w:val="nil"/>
              <w:right w:val="nil"/>
            </w:tcBorders>
            <w:shd w:val="clear" w:color="auto" w:fill="auto"/>
            <w:noWrap/>
            <w:vAlign w:val="bottom"/>
            <w:hideMark/>
          </w:tcPr>
          <w:p w:rsidR="00850B0B" w:rsidRPr="00AE59EE" w:rsidRDefault="00850B0B" w:rsidP="00850B0B">
            <w:pPr>
              <w:rPr>
                <w:rFonts w:ascii="Times New Roman" w:eastAsia="Times New Roman" w:hAnsi="Times New Roman" w:cs="Times New Roman"/>
                <w:color w:val="000000"/>
                <w:lang w:eastAsia="it-IT"/>
              </w:rPr>
            </w:pPr>
          </w:p>
        </w:tc>
        <w:tc>
          <w:tcPr>
            <w:tcW w:w="1060" w:type="dxa"/>
            <w:tcBorders>
              <w:top w:val="nil"/>
              <w:left w:val="nil"/>
              <w:bottom w:val="nil"/>
              <w:right w:val="nil"/>
            </w:tcBorders>
            <w:shd w:val="clear" w:color="auto" w:fill="auto"/>
            <w:noWrap/>
            <w:vAlign w:val="bottom"/>
            <w:hideMark/>
          </w:tcPr>
          <w:p w:rsidR="00850B0B" w:rsidRPr="00AE59EE" w:rsidRDefault="00850B0B" w:rsidP="00850B0B">
            <w:pPr>
              <w:rPr>
                <w:rFonts w:ascii="Times New Roman" w:eastAsia="Times New Roman" w:hAnsi="Times New Roman" w:cs="Times New Roman"/>
                <w:color w:val="000000"/>
                <w:lang w:eastAsia="it-IT"/>
              </w:rPr>
            </w:pPr>
          </w:p>
        </w:tc>
      </w:tr>
      <w:tr w:rsidR="00850B0B" w:rsidRPr="00AE59EE" w:rsidTr="00B12FBA">
        <w:trPr>
          <w:trHeight w:val="367"/>
          <w:jc w:val="center"/>
        </w:trPr>
        <w:tc>
          <w:tcPr>
            <w:tcW w:w="2880" w:type="dxa"/>
            <w:tcBorders>
              <w:top w:val="nil"/>
              <w:left w:val="single" w:sz="8" w:space="0" w:color="0070C0"/>
              <w:bottom w:val="single" w:sz="8" w:space="0" w:color="0070C0"/>
              <w:right w:val="single" w:sz="8" w:space="0" w:color="0070C0"/>
            </w:tcBorders>
            <w:shd w:val="clear" w:color="auto" w:fill="auto"/>
            <w:vAlign w:val="bottom"/>
            <w:hideMark/>
          </w:tcPr>
          <w:p w:rsidR="00850B0B" w:rsidRPr="00AE59EE" w:rsidRDefault="00850B0B" w:rsidP="00850B0B">
            <w:pPr>
              <w:jc w:val="center"/>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000000"/>
                <w:sz w:val="20"/>
                <w:szCs w:val="20"/>
                <w:lang w:eastAsia="it-IT"/>
              </w:rPr>
              <w:t>Regionali</w:t>
            </w:r>
          </w:p>
        </w:tc>
        <w:tc>
          <w:tcPr>
            <w:tcW w:w="1180"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right"/>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000000"/>
                <w:sz w:val="20"/>
                <w:szCs w:val="20"/>
                <w:lang w:eastAsia="it-IT"/>
              </w:rPr>
              <w:t>47,94%</w:t>
            </w:r>
          </w:p>
        </w:tc>
        <w:tc>
          <w:tcPr>
            <w:tcW w:w="1180"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right"/>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000000"/>
                <w:sz w:val="20"/>
                <w:szCs w:val="20"/>
                <w:lang w:eastAsia="it-IT"/>
              </w:rPr>
              <w:t>50,00%</w:t>
            </w:r>
          </w:p>
        </w:tc>
        <w:tc>
          <w:tcPr>
            <w:tcW w:w="1024" w:type="dxa"/>
            <w:tcBorders>
              <w:top w:val="nil"/>
              <w:left w:val="nil"/>
              <w:bottom w:val="nil"/>
              <w:right w:val="nil"/>
            </w:tcBorders>
            <w:shd w:val="clear" w:color="auto" w:fill="auto"/>
            <w:noWrap/>
            <w:vAlign w:val="bottom"/>
            <w:hideMark/>
          </w:tcPr>
          <w:p w:rsidR="00850B0B" w:rsidRPr="00AE59EE" w:rsidRDefault="00850B0B" w:rsidP="00850B0B">
            <w:pPr>
              <w:rPr>
                <w:rFonts w:ascii="Times New Roman" w:eastAsia="Times New Roman" w:hAnsi="Times New Roman" w:cs="Times New Roman"/>
                <w:color w:val="000000"/>
                <w:lang w:eastAsia="it-IT"/>
              </w:rPr>
            </w:pPr>
          </w:p>
        </w:tc>
        <w:tc>
          <w:tcPr>
            <w:tcW w:w="1060" w:type="dxa"/>
            <w:tcBorders>
              <w:top w:val="nil"/>
              <w:left w:val="nil"/>
              <w:bottom w:val="nil"/>
              <w:right w:val="nil"/>
            </w:tcBorders>
            <w:shd w:val="clear" w:color="auto" w:fill="auto"/>
            <w:noWrap/>
            <w:vAlign w:val="bottom"/>
            <w:hideMark/>
          </w:tcPr>
          <w:p w:rsidR="00850B0B" w:rsidRPr="00AE59EE" w:rsidRDefault="00850B0B" w:rsidP="00850B0B">
            <w:pPr>
              <w:rPr>
                <w:rFonts w:ascii="Times New Roman" w:eastAsia="Times New Roman" w:hAnsi="Times New Roman" w:cs="Times New Roman"/>
                <w:color w:val="000000"/>
                <w:lang w:eastAsia="it-IT"/>
              </w:rPr>
            </w:pPr>
          </w:p>
        </w:tc>
      </w:tr>
      <w:tr w:rsidR="00850B0B" w:rsidRPr="00AE59EE" w:rsidTr="00850B0B">
        <w:trPr>
          <w:trHeight w:val="315"/>
          <w:jc w:val="center"/>
        </w:trPr>
        <w:tc>
          <w:tcPr>
            <w:tcW w:w="2880" w:type="dxa"/>
            <w:tcBorders>
              <w:top w:val="nil"/>
              <w:left w:val="single" w:sz="8" w:space="0" w:color="0070C0"/>
              <w:bottom w:val="single" w:sz="8" w:space="0" w:color="0070C0"/>
              <w:right w:val="single" w:sz="8" w:space="0" w:color="0070C0"/>
            </w:tcBorders>
            <w:shd w:val="clear" w:color="auto" w:fill="auto"/>
            <w:vAlign w:val="bottom"/>
            <w:hideMark/>
          </w:tcPr>
          <w:p w:rsidR="00850B0B" w:rsidRPr="00AE59EE" w:rsidRDefault="00850B0B" w:rsidP="00850B0B">
            <w:pPr>
              <w:jc w:val="center"/>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000000"/>
                <w:sz w:val="20"/>
                <w:szCs w:val="20"/>
                <w:lang w:eastAsia="it-IT"/>
              </w:rPr>
              <w:t>extra-regionali</w:t>
            </w:r>
          </w:p>
        </w:tc>
        <w:tc>
          <w:tcPr>
            <w:tcW w:w="1180"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right"/>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000000"/>
                <w:sz w:val="20"/>
                <w:szCs w:val="20"/>
                <w:lang w:eastAsia="it-IT"/>
              </w:rPr>
              <w:t>52,06%</w:t>
            </w:r>
          </w:p>
        </w:tc>
        <w:tc>
          <w:tcPr>
            <w:tcW w:w="1180"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right"/>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000000"/>
                <w:sz w:val="20"/>
                <w:szCs w:val="20"/>
                <w:lang w:eastAsia="it-IT"/>
              </w:rPr>
              <w:t>50,00%</w:t>
            </w:r>
          </w:p>
        </w:tc>
        <w:tc>
          <w:tcPr>
            <w:tcW w:w="1024" w:type="dxa"/>
            <w:tcBorders>
              <w:top w:val="nil"/>
              <w:left w:val="nil"/>
              <w:bottom w:val="nil"/>
              <w:right w:val="nil"/>
            </w:tcBorders>
            <w:shd w:val="clear" w:color="auto" w:fill="auto"/>
            <w:noWrap/>
            <w:vAlign w:val="bottom"/>
            <w:hideMark/>
          </w:tcPr>
          <w:p w:rsidR="00850B0B" w:rsidRPr="00AE59EE" w:rsidRDefault="00850B0B" w:rsidP="00850B0B">
            <w:pPr>
              <w:rPr>
                <w:rFonts w:ascii="Times New Roman" w:eastAsia="Times New Roman" w:hAnsi="Times New Roman" w:cs="Times New Roman"/>
                <w:color w:val="000000"/>
                <w:lang w:eastAsia="it-IT"/>
              </w:rPr>
            </w:pPr>
          </w:p>
        </w:tc>
        <w:tc>
          <w:tcPr>
            <w:tcW w:w="1060" w:type="dxa"/>
            <w:tcBorders>
              <w:top w:val="nil"/>
              <w:left w:val="nil"/>
              <w:bottom w:val="nil"/>
              <w:right w:val="nil"/>
            </w:tcBorders>
            <w:shd w:val="clear" w:color="auto" w:fill="auto"/>
            <w:noWrap/>
            <w:vAlign w:val="bottom"/>
            <w:hideMark/>
          </w:tcPr>
          <w:p w:rsidR="00850B0B" w:rsidRPr="00AE59EE" w:rsidRDefault="00850B0B" w:rsidP="00850B0B">
            <w:pPr>
              <w:rPr>
                <w:rFonts w:ascii="Times New Roman" w:eastAsia="Times New Roman" w:hAnsi="Times New Roman" w:cs="Times New Roman"/>
                <w:color w:val="000000"/>
                <w:lang w:eastAsia="it-IT"/>
              </w:rPr>
            </w:pPr>
          </w:p>
        </w:tc>
      </w:tr>
      <w:tr w:rsidR="00850B0B" w:rsidRPr="00AE59EE" w:rsidTr="00850B0B">
        <w:trPr>
          <w:trHeight w:val="315"/>
          <w:jc w:val="center"/>
        </w:trPr>
        <w:tc>
          <w:tcPr>
            <w:tcW w:w="2880" w:type="dxa"/>
            <w:tcBorders>
              <w:top w:val="nil"/>
              <w:left w:val="nil"/>
              <w:bottom w:val="nil"/>
              <w:right w:val="nil"/>
            </w:tcBorders>
            <w:shd w:val="clear" w:color="auto" w:fill="auto"/>
            <w:noWrap/>
            <w:vAlign w:val="bottom"/>
            <w:hideMark/>
          </w:tcPr>
          <w:p w:rsidR="00850B0B" w:rsidRPr="00AE59EE" w:rsidRDefault="00850B0B" w:rsidP="00850B0B">
            <w:pPr>
              <w:rPr>
                <w:rFonts w:ascii="Times New Roman" w:eastAsia="Times New Roman" w:hAnsi="Times New Roman" w:cs="Times New Roman"/>
                <w:color w:val="000000"/>
                <w:sz w:val="8"/>
                <w:szCs w:val="8"/>
                <w:lang w:eastAsia="it-IT"/>
              </w:rPr>
            </w:pPr>
          </w:p>
        </w:tc>
        <w:tc>
          <w:tcPr>
            <w:tcW w:w="1180" w:type="dxa"/>
            <w:tcBorders>
              <w:top w:val="nil"/>
              <w:left w:val="nil"/>
              <w:bottom w:val="nil"/>
              <w:right w:val="nil"/>
            </w:tcBorders>
            <w:shd w:val="clear" w:color="auto" w:fill="auto"/>
            <w:noWrap/>
            <w:vAlign w:val="bottom"/>
            <w:hideMark/>
          </w:tcPr>
          <w:p w:rsidR="00850B0B" w:rsidRPr="00AE59EE" w:rsidRDefault="00850B0B" w:rsidP="00850B0B">
            <w:pPr>
              <w:rPr>
                <w:rFonts w:ascii="Times New Roman" w:eastAsia="Times New Roman" w:hAnsi="Times New Roman" w:cs="Times New Roman"/>
                <w:color w:val="000000"/>
                <w:lang w:eastAsia="it-IT"/>
              </w:rPr>
            </w:pPr>
          </w:p>
        </w:tc>
        <w:tc>
          <w:tcPr>
            <w:tcW w:w="1180" w:type="dxa"/>
            <w:tcBorders>
              <w:top w:val="nil"/>
              <w:left w:val="nil"/>
              <w:bottom w:val="nil"/>
              <w:right w:val="nil"/>
            </w:tcBorders>
            <w:shd w:val="clear" w:color="auto" w:fill="auto"/>
            <w:noWrap/>
            <w:vAlign w:val="bottom"/>
            <w:hideMark/>
          </w:tcPr>
          <w:p w:rsidR="00850B0B" w:rsidRPr="00AE59EE" w:rsidRDefault="00850B0B" w:rsidP="00850B0B">
            <w:pPr>
              <w:rPr>
                <w:rFonts w:ascii="Times New Roman" w:eastAsia="Times New Roman" w:hAnsi="Times New Roman" w:cs="Times New Roman"/>
                <w:color w:val="000000"/>
                <w:lang w:eastAsia="it-IT"/>
              </w:rPr>
            </w:pPr>
          </w:p>
        </w:tc>
        <w:tc>
          <w:tcPr>
            <w:tcW w:w="1024" w:type="dxa"/>
            <w:tcBorders>
              <w:top w:val="nil"/>
              <w:left w:val="nil"/>
              <w:bottom w:val="nil"/>
              <w:right w:val="nil"/>
            </w:tcBorders>
            <w:shd w:val="clear" w:color="auto" w:fill="auto"/>
            <w:noWrap/>
            <w:vAlign w:val="bottom"/>
            <w:hideMark/>
          </w:tcPr>
          <w:p w:rsidR="00850B0B" w:rsidRPr="00AE59EE" w:rsidRDefault="00850B0B" w:rsidP="00850B0B">
            <w:pPr>
              <w:rPr>
                <w:rFonts w:ascii="Times New Roman" w:eastAsia="Times New Roman" w:hAnsi="Times New Roman" w:cs="Times New Roman"/>
                <w:color w:val="000000"/>
                <w:lang w:eastAsia="it-IT"/>
              </w:rPr>
            </w:pPr>
          </w:p>
        </w:tc>
        <w:tc>
          <w:tcPr>
            <w:tcW w:w="1060" w:type="dxa"/>
            <w:tcBorders>
              <w:top w:val="nil"/>
              <w:left w:val="nil"/>
              <w:bottom w:val="nil"/>
              <w:right w:val="nil"/>
            </w:tcBorders>
            <w:shd w:val="clear" w:color="auto" w:fill="auto"/>
            <w:noWrap/>
            <w:vAlign w:val="bottom"/>
            <w:hideMark/>
          </w:tcPr>
          <w:p w:rsidR="00850B0B" w:rsidRPr="00AE59EE" w:rsidRDefault="00850B0B" w:rsidP="00850B0B">
            <w:pPr>
              <w:rPr>
                <w:rFonts w:ascii="Times New Roman" w:eastAsia="Times New Roman" w:hAnsi="Times New Roman" w:cs="Times New Roman"/>
                <w:color w:val="000000"/>
                <w:lang w:eastAsia="it-IT"/>
              </w:rPr>
            </w:pPr>
          </w:p>
        </w:tc>
      </w:tr>
      <w:tr w:rsidR="00850B0B" w:rsidRPr="00AE59EE" w:rsidTr="00850B0B">
        <w:trPr>
          <w:trHeight w:val="315"/>
          <w:jc w:val="center"/>
        </w:trPr>
        <w:tc>
          <w:tcPr>
            <w:tcW w:w="7324" w:type="dxa"/>
            <w:gridSpan w:val="5"/>
            <w:tcBorders>
              <w:top w:val="single" w:sz="8" w:space="0" w:color="0070C0"/>
              <w:left w:val="single" w:sz="8" w:space="0" w:color="0070C0"/>
              <w:bottom w:val="single" w:sz="8" w:space="0" w:color="0070C0"/>
              <w:right w:val="single" w:sz="8" w:space="0" w:color="0070C0"/>
            </w:tcBorders>
            <w:shd w:val="clear" w:color="000000" w:fill="C6D9F1"/>
            <w:vAlign w:val="bottom"/>
            <w:hideMark/>
          </w:tcPr>
          <w:p w:rsidR="00850B0B" w:rsidRPr="00AE59EE" w:rsidRDefault="00850B0B" w:rsidP="00850B0B">
            <w:pPr>
              <w:jc w:val="center"/>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Complessità casistica attività di ricovero ordinario</w:t>
            </w:r>
          </w:p>
        </w:tc>
      </w:tr>
      <w:tr w:rsidR="00850B0B" w:rsidRPr="00AE59EE" w:rsidTr="00850B0B">
        <w:trPr>
          <w:trHeight w:val="315"/>
          <w:jc w:val="center"/>
        </w:trPr>
        <w:tc>
          <w:tcPr>
            <w:tcW w:w="2880" w:type="dxa"/>
            <w:tcBorders>
              <w:top w:val="nil"/>
              <w:left w:val="single" w:sz="8" w:space="0" w:color="0070C0"/>
              <w:bottom w:val="single" w:sz="8" w:space="0" w:color="0070C0"/>
              <w:right w:val="single" w:sz="8" w:space="0" w:color="0070C0"/>
            </w:tcBorders>
            <w:shd w:val="clear" w:color="auto" w:fill="auto"/>
            <w:noWrap/>
            <w:vAlign w:val="bottom"/>
            <w:hideMark/>
          </w:tcPr>
          <w:p w:rsidR="00850B0B" w:rsidRPr="00AE59EE" w:rsidRDefault="00850B0B" w:rsidP="00850B0B">
            <w:pPr>
              <w:rPr>
                <w:rFonts w:ascii="Times New Roman" w:eastAsia="Times New Roman" w:hAnsi="Times New Roman" w:cs="Times New Roman"/>
                <w:color w:val="000000"/>
                <w:lang w:eastAsia="it-IT"/>
              </w:rPr>
            </w:pPr>
            <w:r w:rsidRPr="00AE59EE">
              <w:rPr>
                <w:rFonts w:ascii="Times New Roman" w:eastAsia="Times New Roman" w:hAnsi="Times New Roman" w:cs="Times New Roman"/>
                <w:color w:val="000000"/>
                <w:lang w:eastAsia="it-IT"/>
              </w:rPr>
              <w:t> </w:t>
            </w:r>
          </w:p>
        </w:tc>
        <w:tc>
          <w:tcPr>
            <w:tcW w:w="1180" w:type="dxa"/>
            <w:tcBorders>
              <w:top w:val="nil"/>
              <w:left w:val="nil"/>
              <w:bottom w:val="single" w:sz="8" w:space="0" w:color="0070C0"/>
              <w:right w:val="single" w:sz="8" w:space="0" w:color="0070C0"/>
            </w:tcBorders>
            <w:shd w:val="clear" w:color="000000" w:fill="C6D9F1"/>
            <w:vAlign w:val="bottom"/>
            <w:hideMark/>
          </w:tcPr>
          <w:p w:rsidR="00850B0B" w:rsidRPr="00AE59EE" w:rsidRDefault="00850B0B" w:rsidP="00850B0B">
            <w:pPr>
              <w:jc w:val="center"/>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2014</w:t>
            </w:r>
          </w:p>
        </w:tc>
        <w:tc>
          <w:tcPr>
            <w:tcW w:w="1180" w:type="dxa"/>
            <w:tcBorders>
              <w:top w:val="nil"/>
              <w:left w:val="nil"/>
              <w:bottom w:val="single" w:sz="8" w:space="0" w:color="0070C0"/>
              <w:right w:val="single" w:sz="8" w:space="0" w:color="0070C0"/>
            </w:tcBorders>
            <w:shd w:val="clear" w:color="000000" w:fill="C6D9F1"/>
            <w:vAlign w:val="bottom"/>
            <w:hideMark/>
          </w:tcPr>
          <w:p w:rsidR="00850B0B" w:rsidRPr="00AE59EE" w:rsidRDefault="00850B0B" w:rsidP="00850B0B">
            <w:pPr>
              <w:jc w:val="center"/>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2015</w:t>
            </w:r>
          </w:p>
        </w:tc>
        <w:tc>
          <w:tcPr>
            <w:tcW w:w="1024"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center"/>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Var.</w:t>
            </w:r>
          </w:p>
        </w:tc>
        <w:tc>
          <w:tcPr>
            <w:tcW w:w="1060"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center"/>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Var. %</w:t>
            </w:r>
          </w:p>
        </w:tc>
      </w:tr>
      <w:tr w:rsidR="00850B0B" w:rsidRPr="00AE59EE" w:rsidTr="00850B0B">
        <w:trPr>
          <w:trHeight w:val="315"/>
          <w:jc w:val="center"/>
        </w:trPr>
        <w:tc>
          <w:tcPr>
            <w:tcW w:w="2880" w:type="dxa"/>
            <w:tcBorders>
              <w:top w:val="nil"/>
              <w:left w:val="single" w:sz="8" w:space="0" w:color="0070C0"/>
              <w:bottom w:val="single" w:sz="8" w:space="0" w:color="0070C0"/>
              <w:right w:val="single" w:sz="8" w:space="0" w:color="0070C0"/>
            </w:tcBorders>
            <w:shd w:val="clear" w:color="auto" w:fill="auto"/>
            <w:vAlign w:val="bottom"/>
            <w:hideMark/>
          </w:tcPr>
          <w:p w:rsidR="00850B0B" w:rsidRPr="00AE59EE" w:rsidRDefault="00850B0B" w:rsidP="00850B0B">
            <w:pPr>
              <w:jc w:val="center"/>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Indice di case mix</w:t>
            </w:r>
          </w:p>
        </w:tc>
        <w:tc>
          <w:tcPr>
            <w:tcW w:w="1180" w:type="dxa"/>
            <w:tcBorders>
              <w:top w:val="nil"/>
              <w:left w:val="nil"/>
              <w:bottom w:val="single" w:sz="8" w:space="0" w:color="0070C0"/>
              <w:right w:val="single" w:sz="8" w:space="0" w:color="0070C0"/>
            </w:tcBorders>
            <w:shd w:val="clear" w:color="auto" w:fill="auto"/>
            <w:noWrap/>
            <w:vAlign w:val="bottom"/>
            <w:hideMark/>
          </w:tcPr>
          <w:p w:rsidR="00850B0B" w:rsidRPr="00AE59EE" w:rsidRDefault="00850B0B" w:rsidP="00850B0B">
            <w:pPr>
              <w:jc w:val="right"/>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000000"/>
                <w:sz w:val="20"/>
                <w:szCs w:val="20"/>
                <w:lang w:eastAsia="it-IT"/>
              </w:rPr>
              <w:t>1,14</w:t>
            </w:r>
          </w:p>
        </w:tc>
        <w:tc>
          <w:tcPr>
            <w:tcW w:w="1180" w:type="dxa"/>
            <w:tcBorders>
              <w:top w:val="nil"/>
              <w:left w:val="nil"/>
              <w:bottom w:val="single" w:sz="8" w:space="0" w:color="0070C0"/>
              <w:right w:val="single" w:sz="8" w:space="0" w:color="0070C0"/>
            </w:tcBorders>
            <w:shd w:val="clear" w:color="auto" w:fill="auto"/>
            <w:noWrap/>
            <w:vAlign w:val="bottom"/>
            <w:hideMark/>
          </w:tcPr>
          <w:p w:rsidR="00850B0B" w:rsidRPr="00AE59EE" w:rsidRDefault="00850B0B" w:rsidP="00850B0B">
            <w:pPr>
              <w:jc w:val="right"/>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000000"/>
                <w:sz w:val="20"/>
                <w:szCs w:val="20"/>
                <w:lang w:eastAsia="it-IT"/>
              </w:rPr>
              <w:t>1,11</w:t>
            </w:r>
          </w:p>
        </w:tc>
        <w:tc>
          <w:tcPr>
            <w:tcW w:w="1024" w:type="dxa"/>
            <w:tcBorders>
              <w:top w:val="nil"/>
              <w:left w:val="nil"/>
              <w:bottom w:val="single" w:sz="8" w:space="0" w:color="0070C0"/>
              <w:right w:val="single" w:sz="8" w:space="0" w:color="0070C0"/>
            </w:tcBorders>
            <w:shd w:val="clear" w:color="auto" w:fill="auto"/>
            <w:noWrap/>
            <w:vAlign w:val="bottom"/>
            <w:hideMark/>
          </w:tcPr>
          <w:p w:rsidR="00850B0B" w:rsidRPr="00AE59EE" w:rsidRDefault="00850B0B" w:rsidP="00850B0B">
            <w:pPr>
              <w:jc w:val="right"/>
              <w:rPr>
                <w:rFonts w:ascii="Times New Roman" w:eastAsia="Times New Roman" w:hAnsi="Times New Roman" w:cs="Times New Roman"/>
                <w:color w:val="FF0000"/>
                <w:sz w:val="20"/>
                <w:szCs w:val="20"/>
                <w:lang w:eastAsia="it-IT"/>
              </w:rPr>
            </w:pPr>
            <w:r w:rsidRPr="00AE59EE">
              <w:rPr>
                <w:rFonts w:ascii="Times New Roman" w:eastAsia="Times New Roman" w:hAnsi="Times New Roman" w:cs="Times New Roman"/>
                <w:color w:val="FF0000"/>
                <w:sz w:val="20"/>
                <w:szCs w:val="20"/>
                <w:lang w:eastAsia="it-IT"/>
              </w:rPr>
              <w:t>-0,03</w:t>
            </w:r>
          </w:p>
        </w:tc>
        <w:tc>
          <w:tcPr>
            <w:tcW w:w="1060" w:type="dxa"/>
            <w:tcBorders>
              <w:top w:val="nil"/>
              <w:left w:val="nil"/>
              <w:bottom w:val="single" w:sz="8" w:space="0" w:color="0070C0"/>
              <w:right w:val="single" w:sz="8" w:space="0" w:color="0070C0"/>
            </w:tcBorders>
            <w:shd w:val="clear" w:color="auto" w:fill="auto"/>
            <w:noWrap/>
            <w:vAlign w:val="bottom"/>
            <w:hideMark/>
          </w:tcPr>
          <w:p w:rsidR="00850B0B" w:rsidRPr="00AE59EE" w:rsidRDefault="00850B0B" w:rsidP="00850B0B">
            <w:pPr>
              <w:jc w:val="right"/>
              <w:rPr>
                <w:rFonts w:ascii="Times New Roman" w:eastAsia="Times New Roman" w:hAnsi="Times New Roman" w:cs="Times New Roman"/>
                <w:color w:val="FF0000"/>
                <w:sz w:val="20"/>
                <w:szCs w:val="20"/>
                <w:lang w:eastAsia="it-IT"/>
              </w:rPr>
            </w:pPr>
            <w:r w:rsidRPr="00AE59EE">
              <w:rPr>
                <w:rFonts w:ascii="Times New Roman" w:eastAsia="Times New Roman" w:hAnsi="Times New Roman" w:cs="Times New Roman"/>
                <w:color w:val="FF0000"/>
                <w:sz w:val="20"/>
                <w:szCs w:val="20"/>
                <w:lang w:eastAsia="it-IT"/>
              </w:rPr>
              <w:t>-2,63%</w:t>
            </w:r>
          </w:p>
        </w:tc>
      </w:tr>
      <w:tr w:rsidR="00850B0B" w:rsidRPr="00AE59EE" w:rsidTr="00850B0B">
        <w:trPr>
          <w:trHeight w:val="315"/>
          <w:jc w:val="center"/>
        </w:trPr>
        <w:tc>
          <w:tcPr>
            <w:tcW w:w="2880" w:type="dxa"/>
            <w:tcBorders>
              <w:top w:val="nil"/>
              <w:left w:val="single" w:sz="8" w:space="0" w:color="0070C0"/>
              <w:bottom w:val="single" w:sz="8" w:space="0" w:color="0070C0"/>
              <w:right w:val="single" w:sz="8" w:space="0" w:color="0070C0"/>
            </w:tcBorders>
            <w:shd w:val="clear" w:color="auto" w:fill="auto"/>
            <w:vAlign w:val="bottom"/>
            <w:hideMark/>
          </w:tcPr>
          <w:p w:rsidR="00850B0B" w:rsidRPr="00AE59EE" w:rsidRDefault="00850B0B" w:rsidP="00850B0B">
            <w:pPr>
              <w:jc w:val="center"/>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Peso medio DRG</w:t>
            </w:r>
          </w:p>
        </w:tc>
        <w:tc>
          <w:tcPr>
            <w:tcW w:w="1180" w:type="dxa"/>
            <w:tcBorders>
              <w:top w:val="nil"/>
              <w:left w:val="nil"/>
              <w:bottom w:val="single" w:sz="8" w:space="0" w:color="0070C0"/>
              <w:right w:val="single" w:sz="8" w:space="0" w:color="0070C0"/>
            </w:tcBorders>
            <w:shd w:val="clear" w:color="auto" w:fill="auto"/>
            <w:noWrap/>
            <w:vAlign w:val="bottom"/>
            <w:hideMark/>
          </w:tcPr>
          <w:p w:rsidR="00850B0B" w:rsidRPr="00AE59EE" w:rsidRDefault="00850B0B" w:rsidP="00850B0B">
            <w:pPr>
              <w:jc w:val="right"/>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000000"/>
                <w:sz w:val="20"/>
                <w:szCs w:val="20"/>
                <w:lang w:eastAsia="it-IT"/>
              </w:rPr>
              <w:t>1,36</w:t>
            </w:r>
          </w:p>
        </w:tc>
        <w:tc>
          <w:tcPr>
            <w:tcW w:w="1180" w:type="dxa"/>
            <w:tcBorders>
              <w:top w:val="nil"/>
              <w:left w:val="nil"/>
              <w:bottom w:val="single" w:sz="8" w:space="0" w:color="0070C0"/>
              <w:right w:val="single" w:sz="8" w:space="0" w:color="0070C0"/>
            </w:tcBorders>
            <w:shd w:val="clear" w:color="auto" w:fill="auto"/>
            <w:noWrap/>
            <w:vAlign w:val="bottom"/>
            <w:hideMark/>
          </w:tcPr>
          <w:p w:rsidR="00850B0B" w:rsidRPr="00AE59EE" w:rsidRDefault="00850B0B" w:rsidP="00850B0B">
            <w:pPr>
              <w:jc w:val="right"/>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000000"/>
                <w:sz w:val="20"/>
                <w:szCs w:val="20"/>
                <w:lang w:eastAsia="it-IT"/>
              </w:rPr>
              <w:t>1,33</w:t>
            </w:r>
          </w:p>
        </w:tc>
        <w:tc>
          <w:tcPr>
            <w:tcW w:w="1024" w:type="dxa"/>
            <w:tcBorders>
              <w:top w:val="nil"/>
              <w:left w:val="nil"/>
              <w:bottom w:val="single" w:sz="8" w:space="0" w:color="0070C0"/>
              <w:right w:val="single" w:sz="8" w:space="0" w:color="0070C0"/>
            </w:tcBorders>
            <w:shd w:val="clear" w:color="auto" w:fill="auto"/>
            <w:noWrap/>
            <w:vAlign w:val="bottom"/>
            <w:hideMark/>
          </w:tcPr>
          <w:p w:rsidR="00850B0B" w:rsidRPr="00AE59EE" w:rsidRDefault="00850B0B" w:rsidP="00850B0B">
            <w:pPr>
              <w:jc w:val="right"/>
              <w:rPr>
                <w:rFonts w:ascii="Times New Roman" w:eastAsia="Times New Roman" w:hAnsi="Times New Roman" w:cs="Times New Roman"/>
                <w:color w:val="FF0000"/>
                <w:sz w:val="20"/>
                <w:szCs w:val="20"/>
                <w:lang w:eastAsia="it-IT"/>
              </w:rPr>
            </w:pPr>
            <w:r w:rsidRPr="00AE59EE">
              <w:rPr>
                <w:rFonts w:ascii="Times New Roman" w:eastAsia="Times New Roman" w:hAnsi="Times New Roman" w:cs="Times New Roman"/>
                <w:color w:val="FF0000"/>
                <w:sz w:val="20"/>
                <w:szCs w:val="20"/>
                <w:lang w:eastAsia="it-IT"/>
              </w:rPr>
              <w:t>-0,03</w:t>
            </w:r>
          </w:p>
        </w:tc>
        <w:tc>
          <w:tcPr>
            <w:tcW w:w="1060" w:type="dxa"/>
            <w:tcBorders>
              <w:top w:val="nil"/>
              <w:left w:val="nil"/>
              <w:bottom w:val="single" w:sz="8" w:space="0" w:color="0070C0"/>
              <w:right w:val="single" w:sz="8" w:space="0" w:color="0070C0"/>
            </w:tcBorders>
            <w:shd w:val="clear" w:color="auto" w:fill="auto"/>
            <w:noWrap/>
            <w:vAlign w:val="bottom"/>
            <w:hideMark/>
          </w:tcPr>
          <w:p w:rsidR="00850B0B" w:rsidRPr="00AE59EE" w:rsidRDefault="00850B0B" w:rsidP="00850B0B">
            <w:pPr>
              <w:jc w:val="right"/>
              <w:rPr>
                <w:rFonts w:ascii="Times New Roman" w:eastAsia="Times New Roman" w:hAnsi="Times New Roman" w:cs="Times New Roman"/>
                <w:color w:val="FF0000"/>
                <w:sz w:val="20"/>
                <w:szCs w:val="20"/>
                <w:lang w:eastAsia="it-IT"/>
              </w:rPr>
            </w:pPr>
            <w:r w:rsidRPr="00AE59EE">
              <w:rPr>
                <w:rFonts w:ascii="Times New Roman" w:eastAsia="Times New Roman" w:hAnsi="Times New Roman" w:cs="Times New Roman"/>
                <w:color w:val="FF0000"/>
                <w:sz w:val="20"/>
                <w:szCs w:val="20"/>
                <w:lang w:eastAsia="it-IT"/>
              </w:rPr>
              <w:t>-2,21%</w:t>
            </w:r>
          </w:p>
        </w:tc>
      </w:tr>
      <w:tr w:rsidR="00850B0B" w:rsidRPr="00AE59EE" w:rsidTr="00850B0B">
        <w:trPr>
          <w:trHeight w:val="315"/>
          <w:jc w:val="center"/>
        </w:trPr>
        <w:tc>
          <w:tcPr>
            <w:tcW w:w="2880" w:type="dxa"/>
            <w:tcBorders>
              <w:top w:val="nil"/>
              <w:left w:val="nil"/>
              <w:bottom w:val="nil"/>
              <w:right w:val="nil"/>
            </w:tcBorders>
            <w:shd w:val="clear" w:color="auto" w:fill="auto"/>
            <w:vAlign w:val="bottom"/>
            <w:hideMark/>
          </w:tcPr>
          <w:p w:rsidR="00850B0B" w:rsidRPr="00AE59EE" w:rsidRDefault="00850B0B" w:rsidP="00850B0B">
            <w:pPr>
              <w:rPr>
                <w:rFonts w:ascii="Times New Roman" w:eastAsia="Times New Roman" w:hAnsi="Times New Roman" w:cs="Times New Roman"/>
                <w:color w:val="000000"/>
                <w:lang w:eastAsia="it-IT"/>
              </w:rPr>
            </w:pPr>
          </w:p>
        </w:tc>
        <w:tc>
          <w:tcPr>
            <w:tcW w:w="1180" w:type="dxa"/>
            <w:tcBorders>
              <w:top w:val="nil"/>
              <w:left w:val="nil"/>
              <w:bottom w:val="nil"/>
              <w:right w:val="nil"/>
            </w:tcBorders>
            <w:shd w:val="clear" w:color="auto" w:fill="auto"/>
            <w:noWrap/>
            <w:vAlign w:val="bottom"/>
            <w:hideMark/>
          </w:tcPr>
          <w:p w:rsidR="00850B0B" w:rsidRPr="00AE59EE" w:rsidRDefault="00850B0B" w:rsidP="00850B0B">
            <w:pPr>
              <w:rPr>
                <w:rFonts w:ascii="Times New Roman" w:eastAsia="Times New Roman" w:hAnsi="Times New Roman" w:cs="Times New Roman"/>
                <w:color w:val="000000"/>
                <w:lang w:eastAsia="it-IT"/>
              </w:rPr>
            </w:pPr>
          </w:p>
        </w:tc>
        <w:tc>
          <w:tcPr>
            <w:tcW w:w="1180" w:type="dxa"/>
            <w:tcBorders>
              <w:top w:val="nil"/>
              <w:left w:val="nil"/>
              <w:bottom w:val="nil"/>
              <w:right w:val="nil"/>
            </w:tcBorders>
            <w:shd w:val="clear" w:color="auto" w:fill="auto"/>
            <w:noWrap/>
            <w:vAlign w:val="bottom"/>
            <w:hideMark/>
          </w:tcPr>
          <w:p w:rsidR="00850B0B" w:rsidRPr="00AE59EE" w:rsidRDefault="00850B0B" w:rsidP="00850B0B">
            <w:pPr>
              <w:rPr>
                <w:rFonts w:ascii="Times New Roman" w:eastAsia="Times New Roman" w:hAnsi="Times New Roman" w:cs="Times New Roman"/>
                <w:color w:val="000000"/>
                <w:lang w:eastAsia="it-IT"/>
              </w:rPr>
            </w:pPr>
          </w:p>
        </w:tc>
        <w:tc>
          <w:tcPr>
            <w:tcW w:w="1024" w:type="dxa"/>
            <w:tcBorders>
              <w:top w:val="nil"/>
              <w:left w:val="nil"/>
              <w:bottom w:val="nil"/>
              <w:right w:val="nil"/>
            </w:tcBorders>
            <w:shd w:val="clear" w:color="auto" w:fill="auto"/>
            <w:noWrap/>
            <w:vAlign w:val="bottom"/>
            <w:hideMark/>
          </w:tcPr>
          <w:p w:rsidR="00850B0B" w:rsidRPr="00AE59EE" w:rsidRDefault="00850B0B" w:rsidP="00850B0B">
            <w:pPr>
              <w:rPr>
                <w:rFonts w:ascii="Times New Roman" w:eastAsia="Times New Roman" w:hAnsi="Times New Roman" w:cs="Times New Roman"/>
                <w:color w:val="000000"/>
                <w:lang w:eastAsia="it-IT"/>
              </w:rPr>
            </w:pPr>
          </w:p>
        </w:tc>
        <w:tc>
          <w:tcPr>
            <w:tcW w:w="1060" w:type="dxa"/>
            <w:tcBorders>
              <w:top w:val="nil"/>
              <w:left w:val="nil"/>
              <w:bottom w:val="nil"/>
              <w:right w:val="nil"/>
            </w:tcBorders>
            <w:shd w:val="clear" w:color="auto" w:fill="auto"/>
            <w:noWrap/>
            <w:vAlign w:val="bottom"/>
            <w:hideMark/>
          </w:tcPr>
          <w:p w:rsidR="00850B0B" w:rsidRPr="00AE59EE" w:rsidRDefault="00850B0B" w:rsidP="00850B0B">
            <w:pPr>
              <w:rPr>
                <w:rFonts w:ascii="Times New Roman" w:eastAsia="Times New Roman" w:hAnsi="Times New Roman" w:cs="Times New Roman"/>
                <w:color w:val="000000"/>
                <w:lang w:eastAsia="it-IT"/>
              </w:rPr>
            </w:pPr>
          </w:p>
        </w:tc>
      </w:tr>
      <w:tr w:rsidR="00850B0B" w:rsidRPr="00AE59EE" w:rsidTr="00850B0B">
        <w:trPr>
          <w:trHeight w:val="315"/>
          <w:jc w:val="center"/>
        </w:trPr>
        <w:tc>
          <w:tcPr>
            <w:tcW w:w="7324" w:type="dxa"/>
            <w:gridSpan w:val="5"/>
            <w:tcBorders>
              <w:top w:val="single" w:sz="8" w:space="0" w:color="0070C0"/>
              <w:left w:val="single" w:sz="8" w:space="0" w:color="0070C0"/>
              <w:bottom w:val="single" w:sz="8" w:space="0" w:color="0070C0"/>
              <w:right w:val="single" w:sz="8" w:space="0" w:color="0070C0"/>
            </w:tcBorders>
            <w:shd w:val="clear" w:color="000000" w:fill="C6D9F1"/>
            <w:vAlign w:val="bottom"/>
            <w:hideMark/>
          </w:tcPr>
          <w:p w:rsidR="00850B0B" w:rsidRPr="00AE59EE" w:rsidRDefault="00850B0B" w:rsidP="00850B0B">
            <w:pPr>
              <w:jc w:val="center"/>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Valore DRG (tariffe FVG di fascia B)</w:t>
            </w:r>
          </w:p>
        </w:tc>
      </w:tr>
      <w:tr w:rsidR="00850B0B" w:rsidRPr="00AE59EE" w:rsidTr="00850B0B">
        <w:trPr>
          <w:trHeight w:val="315"/>
          <w:jc w:val="center"/>
        </w:trPr>
        <w:tc>
          <w:tcPr>
            <w:tcW w:w="2880" w:type="dxa"/>
            <w:tcBorders>
              <w:top w:val="nil"/>
              <w:left w:val="single" w:sz="8" w:space="0" w:color="0070C0"/>
              <w:bottom w:val="single" w:sz="8" w:space="0" w:color="0070C0"/>
              <w:right w:val="single" w:sz="8" w:space="0" w:color="0070C0"/>
            </w:tcBorders>
            <w:shd w:val="clear" w:color="auto" w:fill="auto"/>
            <w:vAlign w:val="bottom"/>
            <w:hideMark/>
          </w:tcPr>
          <w:p w:rsidR="00850B0B" w:rsidRPr="00AE59EE" w:rsidRDefault="00850B0B" w:rsidP="00850B0B">
            <w:pPr>
              <w:jc w:val="center"/>
              <w:rPr>
                <w:rFonts w:ascii="Times New Roman" w:eastAsia="Times New Roman" w:hAnsi="Times New Roman" w:cs="Times New Roman"/>
                <w:b/>
                <w:bCs/>
                <w:color w:val="000000"/>
                <w:sz w:val="18"/>
                <w:szCs w:val="18"/>
                <w:lang w:eastAsia="it-IT"/>
              </w:rPr>
            </w:pPr>
            <w:r w:rsidRPr="00AE59EE">
              <w:rPr>
                <w:rFonts w:ascii="Times New Roman" w:eastAsia="Times New Roman" w:hAnsi="Times New Roman" w:cs="Times New Roman"/>
                <w:b/>
                <w:bCs/>
                <w:color w:val="000000"/>
                <w:sz w:val="18"/>
                <w:szCs w:val="18"/>
                <w:lang w:eastAsia="it-IT"/>
              </w:rPr>
              <w:t>per regime di ricovero</w:t>
            </w:r>
          </w:p>
        </w:tc>
        <w:tc>
          <w:tcPr>
            <w:tcW w:w="1180" w:type="dxa"/>
            <w:tcBorders>
              <w:top w:val="nil"/>
              <w:left w:val="nil"/>
              <w:bottom w:val="single" w:sz="8" w:space="0" w:color="0070C0"/>
              <w:right w:val="single" w:sz="8" w:space="0" w:color="0070C0"/>
            </w:tcBorders>
            <w:shd w:val="clear" w:color="000000" w:fill="C6D9F1"/>
            <w:vAlign w:val="bottom"/>
            <w:hideMark/>
          </w:tcPr>
          <w:p w:rsidR="00850B0B" w:rsidRPr="00AE59EE" w:rsidRDefault="00850B0B" w:rsidP="00850B0B">
            <w:pPr>
              <w:jc w:val="center"/>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2014</w:t>
            </w:r>
          </w:p>
        </w:tc>
        <w:tc>
          <w:tcPr>
            <w:tcW w:w="1180" w:type="dxa"/>
            <w:tcBorders>
              <w:top w:val="nil"/>
              <w:left w:val="nil"/>
              <w:bottom w:val="single" w:sz="8" w:space="0" w:color="0070C0"/>
              <w:right w:val="single" w:sz="8" w:space="0" w:color="0070C0"/>
            </w:tcBorders>
            <w:shd w:val="clear" w:color="000000" w:fill="C6D9F1"/>
            <w:vAlign w:val="bottom"/>
            <w:hideMark/>
          </w:tcPr>
          <w:p w:rsidR="00850B0B" w:rsidRPr="00AE59EE" w:rsidRDefault="00850B0B" w:rsidP="00850B0B">
            <w:pPr>
              <w:jc w:val="center"/>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2015</w:t>
            </w:r>
          </w:p>
        </w:tc>
        <w:tc>
          <w:tcPr>
            <w:tcW w:w="1024"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center"/>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Var.</w:t>
            </w:r>
          </w:p>
        </w:tc>
        <w:tc>
          <w:tcPr>
            <w:tcW w:w="1060"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center"/>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Var. %</w:t>
            </w:r>
          </w:p>
        </w:tc>
      </w:tr>
      <w:tr w:rsidR="00850B0B" w:rsidRPr="00AE59EE" w:rsidTr="00850B0B">
        <w:trPr>
          <w:trHeight w:val="315"/>
          <w:jc w:val="center"/>
        </w:trPr>
        <w:tc>
          <w:tcPr>
            <w:tcW w:w="2880" w:type="dxa"/>
            <w:tcBorders>
              <w:top w:val="nil"/>
              <w:left w:val="single" w:sz="8" w:space="0" w:color="0070C0"/>
              <w:bottom w:val="single" w:sz="8" w:space="0" w:color="0070C0"/>
              <w:right w:val="single" w:sz="8" w:space="0" w:color="0070C0"/>
            </w:tcBorders>
            <w:shd w:val="clear" w:color="auto" w:fill="auto"/>
            <w:vAlign w:val="bottom"/>
            <w:hideMark/>
          </w:tcPr>
          <w:p w:rsidR="00850B0B" w:rsidRPr="00AE59EE" w:rsidRDefault="00850B0B" w:rsidP="00850B0B">
            <w:pPr>
              <w:jc w:val="center"/>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ORDINARI</w:t>
            </w:r>
          </w:p>
        </w:tc>
        <w:tc>
          <w:tcPr>
            <w:tcW w:w="1180"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right"/>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000000"/>
                <w:sz w:val="20"/>
                <w:szCs w:val="20"/>
                <w:lang w:eastAsia="it-IT"/>
              </w:rPr>
              <w:t xml:space="preserve">€17.098.076 </w:t>
            </w:r>
          </w:p>
        </w:tc>
        <w:tc>
          <w:tcPr>
            <w:tcW w:w="1180"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right"/>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000000"/>
                <w:sz w:val="20"/>
                <w:szCs w:val="20"/>
                <w:lang w:eastAsia="it-IT"/>
              </w:rPr>
              <w:t xml:space="preserve">€16.939.138 </w:t>
            </w:r>
          </w:p>
        </w:tc>
        <w:tc>
          <w:tcPr>
            <w:tcW w:w="1024"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right"/>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FF0000"/>
                <w:sz w:val="20"/>
                <w:szCs w:val="20"/>
                <w:lang w:eastAsia="it-IT"/>
              </w:rPr>
              <w:t>(€158.937)</w:t>
            </w:r>
          </w:p>
        </w:tc>
        <w:tc>
          <w:tcPr>
            <w:tcW w:w="1060"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right"/>
              <w:rPr>
                <w:rFonts w:ascii="Times New Roman" w:eastAsia="Times New Roman" w:hAnsi="Times New Roman" w:cs="Times New Roman"/>
                <w:color w:val="FF0000"/>
                <w:sz w:val="20"/>
                <w:szCs w:val="20"/>
                <w:lang w:eastAsia="it-IT"/>
              </w:rPr>
            </w:pPr>
            <w:r w:rsidRPr="00AE59EE">
              <w:rPr>
                <w:rFonts w:ascii="Times New Roman" w:eastAsia="Times New Roman" w:hAnsi="Times New Roman" w:cs="Times New Roman"/>
                <w:color w:val="FF0000"/>
                <w:sz w:val="20"/>
                <w:szCs w:val="20"/>
                <w:lang w:eastAsia="it-IT"/>
              </w:rPr>
              <w:t>-0,90%</w:t>
            </w:r>
          </w:p>
        </w:tc>
      </w:tr>
      <w:tr w:rsidR="00850B0B" w:rsidRPr="00AE59EE" w:rsidTr="00850B0B">
        <w:trPr>
          <w:trHeight w:val="315"/>
          <w:jc w:val="center"/>
        </w:trPr>
        <w:tc>
          <w:tcPr>
            <w:tcW w:w="2880" w:type="dxa"/>
            <w:tcBorders>
              <w:top w:val="nil"/>
              <w:left w:val="single" w:sz="8" w:space="0" w:color="0070C0"/>
              <w:bottom w:val="single" w:sz="8" w:space="0" w:color="0070C0"/>
              <w:right w:val="single" w:sz="8" w:space="0" w:color="0070C0"/>
            </w:tcBorders>
            <w:shd w:val="clear" w:color="auto" w:fill="auto"/>
            <w:vAlign w:val="bottom"/>
            <w:hideMark/>
          </w:tcPr>
          <w:p w:rsidR="00850B0B" w:rsidRPr="00AE59EE" w:rsidRDefault="00850B0B" w:rsidP="00850B0B">
            <w:pPr>
              <w:jc w:val="center"/>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DH</w:t>
            </w:r>
          </w:p>
        </w:tc>
        <w:tc>
          <w:tcPr>
            <w:tcW w:w="1180"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right"/>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000000"/>
                <w:sz w:val="20"/>
                <w:szCs w:val="20"/>
                <w:lang w:eastAsia="it-IT"/>
              </w:rPr>
              <w:t xml:space="preserve">€8.628.153 </w:t>
            </w:r>
          </w:p>
        </w:tc>
        <w:tc>
          <w:tcPr>
            <w:tcW w:w="1180"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right"/>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000000"/>
                <w:sz w:val="20"/>
                <w:szCs w:val="20"/>
                <w:lang w:eastAsia="it-IT"/>
              </w:rPr>
              <w:t xml:space="preserve">€8.529.616 </w:t>
            </w:r>
          </w:p>
        </w:tc>
        <w:tc>
          <w:tcPr>
            <w:tcW w:w="1024"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right"/>
              <w:rPr>
                <w:rFonts w:ascii="Times New Roman" w:eastAsia="Times New Roman" w:hAnsi="Times New Roman" w:cs="Times New Roman"/>
                <w:color w:val="000000"/>
                <w:sz w:val="20"/>
                <w:szCs w:val="20"/>
                <w:lang w:eastAsia="it-IT"/>
              </w:rPr>
            </w:pPr>
            <w:r w:rsidRPr="00AE59EE">
              <w:rPr>
                <w:rFonts w:ascii="Times New Roman" w:eastAsia="Times New Roman" w:hAnsi="Times New Roman" w:cs="Times New Roman"/>
                <w:color w:val="FF0000"/>
                <w:sz w:val="20"/>
                <w:szCs w:val="20"/>
                <w:lang w:eastAsia="it-IT"/>
              </w:rPr>
              <w:t>(€98.537)</w:t>
            </w:r>
          </w:p>
        </w:tc>
        <w:tc>
          <w:tcPr>
            <w:tcW w:w="1060"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right"/>
              <w:rPr>
                <w:rFonts w:ascii="Times New Roman" w:eastAsia="Times New Roman" w:hAnsi="Times New Roman" w:cs="Times New Roman"/>
                <w:color w:val="FF0000"/>
                <w:sz w:val="20"/>
                <w:szCs w:val="20"/>
                <w:lang w:eastAsia="it-IT"/>
              </w:rPr>
            </w:pPr>
            <w:r w:rsidRPr="00AE59EE">
              <w:rPr>
                <w:rFonts w:ascii="Times New Roman" w:eastAsia="Times New Roman" w:hAnsi="Times New Roman" w:cs="Times New Roman"/>
                <w:color w:val="FF0000"/>
                <w:sz w:val="20"/>
                <w:szCs w:val="20"/>
                <w:lang w:eastAsia="it-IT"/>
              </w:rPr>
              <w:t>-1,10%</w:t>
            </w:r>
          </w:p>
        </w:tc>
      </w:tr>
      <w:tr w:rsidR="00850B0B" w:rsidRPr="00AE59EE" w:rsidTr="00850B0B">
        <w:trPr>
          <w:trHeight w:val="315"/>
          <w:jc w:val="center"/>
        </w:trPr>
        <w:tc>
          <w:tcPr>
            <w:tcW w:w="2880" w:type="dxa"/>
            <w:tcBorders>
              <w:top w:val="nil"/>
              <w:left w:val="single" w:sz="8" w:space="0" w:color="0070C0"/>
              <w:bottom w:val="single" w:sz="8" w:space="0" w:color="0070C0"/>
              <w:right w:val="single" w:sz="8" w:space="0" w:color="0070C0"/>
            </w:tcBorders>
            <w:shd w:val="clear" w:color="000000" w:fill="C6D9F1"/>
            <w:vAlign w:val="bottom"/>
            <w:hideMark/>
          </w:tcPr>
          <w:p w:rsidR="00850B0B" w:rsidRPr="00AE59EE" w:rsidRDefault="00850B0B" w:rsidP="00850B0B">
            <w:pPr>
              <w:jc w:val="center"/>
              <w:rPr>
                <w:rFonts w:ascii="Times New Roman" w:eastAsia="Times New Roman" w:hAnsi="Times New Roman" w:cs="Times New Roman"/>
                <w:b/>
                <w:bCs/>
                <w:color w:val="000000"/>
                <w:sz w:val="18"/>
                <w:szCs w:val="18"/>
                <w:lang w:eastAsia="it-IT"/>
              </w:rPr>
            </w:pPr>
            <w:r w:rsidRPr="00AE59EE">
              <w:rPr>
                <w:rFonts w:ascii="Times New Roman" w:eastAsia="Times New Roman" w:hAnsi="Times New Roman" w:cs="Times New Roman"/>
                <w:b/>
                <w:bCs/>
                <w:color w:val="000000"/>
                <w:sz w:val="18"/>
                <w:szCs w:val="18"/>
                <w:lang w:eastAsia="it-IT"/>
              </w:rPr>
              <w:t>TOTALI</w:t>
            </w:r>
          </w:p>
        </w:tc>
        <w:tc>
          <w:tcPr>
            <w:tcW w:w="1180" w:type="dxa"/>
            <w:tcBorders>
              <w:top w:val="nil"/>
              <w:left w:val="nil"/>
              <w:bottom w:val="single" w:sz="8" w:space="0" w:color="0070C0"/>
              <w:right w:val="single" w:sz="8" w:space="0" w:color="0070C0"/>
            </w:tcBorders>
            <w:shd w:val="clear" w:color="000000" w:fill="C6D9F1"/>
            <w:vAlign w:val="bottom"/>
            <w:hideMark/>
          </w:tcPr>
          <w:p w:rsidR="00850B0B" w:rsidRPr="00AE59EE" w:rsidRDefault="00850B0B" w:rsidP="00850B0B">
            <w:pPr>
              <w:jc w:val="right"/>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 xml:space="preserve">€25.726.229 </w:t>
            </w:r>
          </w:p>
        </w:tc>
        <w:tc>
          <w:tcPr>
            <w:tcW w:w="1180" w:type="dxa"/>
            <w:tcBorders>
              <w:top w:val="nil"/>
              <w:left w:val="nil"/>
              <w:bottom w:val="single" w:sz="8" w:space="0" w:color="0070C0"/>
              <w:right w:val="single" w:sz="8" w:space="0" w:color="0070C0"/>
            </w:tcBorders>
            <w:shd w:val="clear" w:color="000000" w:fill="C6D9F1"/>
            <w:vAlign w:val="bottom"/>
            <w:hideMark/>
          </w:tcPr>
          <w:p w:rsidR="00850B0B" w:rsidRPr="00AE59EE" w:rsidRDefault="00850B0B" w:rsidP="00850B0B">
            <w:pPr>
              <w:jc w:val="right"/>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000000"/>
                <w:sz w:val="20"/>
                <w:szCs w:val="20"/>
                <w:lang w:eastAsia="it-IT"/>
              </w:rPr>
              <w:t xml:space="preserve">€25.468.754 </w:t>
            </w:r>
          </w:p>
        </w:tc>
        <w:tc>
          <w:tcPr>
            <w:tcW w:w="1024"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right"/>
              <w:rPr>
                <w:rFonts w:ascii="Times New Roman" w:eastAsia="Times New Roman" w:hAnsi="Times New Roman" w:cs="Times New Roman"/>
                <w:b/>
                <w:bCs/>
                <w:color w:val="000000"/>
                <w:sz w:val="20"/>
                <w:szCs w:val="20"/>
                <w:lang w:eastAsia="it-IT"/>
              </w:rPr>
            </w:pPr>
            <w:r w:rsidRPr="00AE59EE">
              <w:rPr>
                <w:rFonts w:ascii="Times New Roman" w:eastAsia="Times New Roman" w:hAnsi="Times New Roman" w:cs="Times New Roman"/>
                <w:b/>
                <w:bCs/>
                <w:color w:val="FF0000"/>
                <w:sz w:val="20"/>
                <w:szCs w:val="20"/>
                <w:lang w:eastAsia="it-IT"/>
              </w:rPr>
              <w:t>(€257.474)</w:t>
            </w:r>
          </w:p>
        </w:tc>
        <w:tc>
          <w:tcPr>
            <w:tcW w:w="1060" w:type="dxa"/>
            <w:tcBorders>
              <w:top w:val="nil"/>
              <w:left w:val="nil"/>
              <w:bottom w:val="single" w:sz="8" w:space="0" w:color="0070C0"/>
              <w:right w:val="single" w:sz="8" w:space="0" w:color="0070C0"/>
            </w:tcBorders>
            <w:shd w:val="clear" w:color="auto" w:fill="auto"/>
            <w:vAlign w:val="bottom"/>
            <w:hideMark/>
          </w:tcPr>
          <w:p w:rsidR="00850B0B" w:rsidRPr="00AE59EE" w:rsidRDefault="00850B0B" w:rsidP="00850B0B">
            <w:pPr>
              <w:jc w:val="right"/>
              <w:rPr>
                <w:rFonts w:ascii="Times New Roman" w:eastAsia="Times New Roman" w:hAnsi="Times New Roman" w:cs="Times New Roman"/>
                <w:b/>
                <w:bCs/>
                <w:color w:val="FF0000"/>
                <w:sz w:val="20"/>
                <w:szCs w:val="20"/>
                <w:lang w:eastAsia="it-IT"/>
              </w:rPr>
            </w:pPr>
            <w:r w:rsidRPr="00AE59EE">
              <w:rPr>
                <w:rFonts w:ascii="Times New Roman" w:eastAsia="Times New Roman" w:hAnsi="Times New Roman" w:cs="Times New Roman"/>
                <w:b/>
                <w:bCs/>
                <w:color w:val="FF0000"/>
                <w:sz w:val="20"/>
                <w:szCs w:val="20"/>
                <w:lang w:eastAsia="it-IT"/>
              </w:rPr>
              <w:t>-1,00%</w:t>
            </w:r>
          </w:p>
        </w:tc>
      </w:tr>
    </w:tbl>
    <w:p w:rsidR="00850B0B" w:rsidRPr="00AE59EE" w:rsidRDefault="00850B0B" w:rsidP="00850B0B">
      <w:pPr>
        <w:autoSpaceDE w:val="0"/>
        <w:autoSpaceDN w:val="0"/>
        <w:adjustRightInd w:val="0"/>
        <w:rPr>
          <w:rFonts w:ascii="Times New Roman" w:hAnsi="Times New Roman" w:cs="Times New Roman"/>
          <w:sz w:val="24"/>
          <w:szCs w:val="24"/>
        </w:rPr>
      </w:pPr>
    </w:p>
    <w:p w:rsidR="00850B0B" w:rsidRPr="00850B0B" w:rsidRDefault="00850B0B" w:rsidP="00850B0B">
      <w:pPr>
        <w:autoSpaceDE w:val="0"/>
        <w:autoSpaceDN w:val="0"/>
        <w:adjustRightInd w:val="0"/>
        <w:rPr>
          <w:rFonts w:ascii="Times New Roman" w:hAnsi="Times New Roman" w:cs="Times New Roman"/>
          <w:b/>
          <w:sz w:val="24"/>
          <w:szCs w:val="24"/>
        </w:rPr>
      </w:pPr>
      <w:r w:rsidRPr="00850B0B">
        <w:rPr>
          <w:rFonts w:ascii="Times New Roman" w:hAnsi="Times New Roman" w:cs="Times New Roman"/>
          <w:b/>
          <w:sz w:val="24"/>
          <w:szCs w:val="24"/>
        </w:rPr>
        <w:t xml:space="preserve">4.Attività </w:t>
      </w:r>
      <w:r>
        <w:rPr>
          <w:rFonts w:ascii="Times New Roman" w:hAnsi="Times New Roman" w:cs="Times New Roman"/>
          <w:b/>
          <w:sz w:val="24"/>
          <w:szCs w:val="24"/>
        </w:rPr>
        <w:t xml:space="preserve">specialistica </w:t>
      </w:r>
      <w:r w:rsidRPr="00850B0B">
        <w:rPr>
          <w:rFonts w:ascii="Times New Roman" w:hAnsi="Times New Roman" w:cs="Times New Roman"/>
          <w:b/>
          <w:sz w:val="24"/>
          <w:szCs w:val="24"/>
        </w:rPr>
        <w:t>ambulatoriale</w:t>
      </w:r>
      <w:r>
        <w:rPr>
          <w:rFonts w:ascii="Times New Roman" w:hAnsi="Times New Roman" w:cs="Times New Roman"/>
          <w:b/>
          <w:sz w:val="24"/>
          <w:szCs w:val="24"/>
        </w:rPr>
        <w:t xml:space="preserve"> per esterni</w:t>
      </w:r>
    </w:p>
    <w:p w:rsidR="00850B0B" w:rsidRPr="00850B0B" w:rsidRDefault="00850B0B" w:rsidP="00850B0B">
      <w:pPr>
        <w:ind w:right="-82"/>
        <w:jc w:val="both"/>
        <w:rPr>
          <w:rFonts w:cs="Times New Roman"/>
          <w:sz w:val="24"/>
          <w:szCs w:val="24"/>
        </w:rPr>
      </w:pPr>
      <w:r w:rsidRPr="00850B0B">
        <w:rPr>
          <w:rFonts w:cs="Times New Roman"/>
          <w:sz w:val="24"/>
          <w:szCs w:val="24"/>
        </w:rPr>
        <w:lastRenderedPageBreak/>
        <w:t>L’attività ambulatoriale è stata, nel suo complesso, contraddistinta da un aumento del numero di prestazioni di specialistica per esterni ( +8,03%) e del valore tariffato (6,57%). In particolare si osserva un aumento dell’attività riferita alla branca della radioterapia e dei laboratori.</w:t>
      </w:r>
    </w:p>
    <w:tbl>
      <w:tblPr>
        <w:tblW w:w="0" w:type="auto"/>
        <w:tblLayout w:type="fixed"/>
        <w:tblCellMar>
          <w:left w:w="70" w:type="dxa"/>
          <w:right w:w="70" w:type="dxa"/>
        </w:tblCellMar>
        <w:tblLook w:val="04A0"/>
      </w:tblPr>
      <w:tblGrid>
        <w:gridCol w:w="3760"/>
        <w:gridCol w:w="1031"/>
        <w:gridCol w:w="871"/>
        <w:gridCol w:w="1101"/>
        <w:gridCol w:w="1101"/>
        <w:gridCol w:w="781"/>
        <w:gridCol w:w="1133"/>
      </w:tblGrid>
      <w:tr w:rsidR="00850B0B" w:rsidRPr="00AE59EE" w:rsidTr="00850B0B">
        <w:trPr>
          <w:trHeight w:val="255"/>
          <w:tblHeader/>
        </w:trPr>
        <w:tc>
          <w:tcPr>
            <w:tcW w:w="3760" w:type="dxa"/>
            <w:tcBorders>
              <w:top w:val="nil"/>
              <w:left w:val="nil"/>
              <w:bottom w:val="nil"/>
              <w:right w:val="nil"/>
            </w:tcBorders>
            <w:shd w:val="clear" w:color="auto" w:fill="auto"/>
            <w:noWrap/>
            <w:vAlign w:val="bottom"/>
            <w:hideMark/>
          </w:tcPr>
          <w:p w:rsidR="00850B0B" w:rsidRPr="00AE59EE" w:rsidRDefault="00850B0B" w:rsidP="00850B0B">
            <w:pPr>
              <w:rPr>
                <w:rFonts w:ascii="Times New Roman" w:eastAsia="Times New Roman" w:hAnsi="Times New Roman" w:cs="Times New Roman"/>
                <w:sz w:val="18"/>
                <w:szCs w:val="18"/>
                <w:lang w:eastAsia="it-IT"/>
              </w:rPr>
            </w:pPr>
          </w:p>
        </w:tc>
        <w:tc>
          <w:tcPr>
            <w:tcW w:w="1902" w:type="dxa"/>
            <w:gridSpan w:val="2"/>
            <w:tcBorders>
              <w:top w:val="single" w:sz="4" w:space="0" w:color="auto"/>
              <w:left w:val="single" w:sz="4" w:space="0" w:color="auto"/>
              <w:bottom w:val="single" w:sz="4" w:space="0" w:color="auto"/>
              <w:right w:val="single" w:sz="4" w:space="0" w:color="000000"/>
            </w:tcBorders>
            <w:shd w:val="clear" w:color="000000" w:fill="C6D9F1" w:themeFill="text2" w:themeFillTint="33"/>
            <w:noWrap/>
            <w:vAlign w:val="bottom"/>
            <w:hideMark/>
          </w:tcPr>
          <w:p w:rsidR="00850B0B" w:rsidRPr="00AE59EE" w:rsidRDefault="00850B0B" w:rsidP="00A9622A">
            <w:pPr>
              <w:spacing w:after="120"/>
              <w:jc w:val="center"/>
              <w:rPr>
                <w:rFonts w:ascii="Times New Roman" w:eastAsia="Times New Roman" w:hAnsi="Times New Roman" w:cs="Times New Roman"/>
                <w:b/>
                <w:bCs/>
                <w:sz w:val="18"/>
                <w:szCs w:val="18"/>
                <w:lang w:eastAsia="it-IT"/>
              </w:rPr>
            </w:pPr>
            <w:r w:rsidRPr="00AE59EE">
              <w:rPr>
                <w:rFonts w:ascii="Times New Roman" w:eastAsia="Times New Roman" w:hAnsi="Times New Roman" w:cs="Times New Roman"/>
                <w:b/>
                <w:bCs/>
                <w:sz w:val="18"/>
                <w:szCs w:val="18"/>
                <w:lang w:eastAsia="it-IT"/>
              </w:rPr>
              <w:t>numero prestazioni</w:t>
            </w:r>
          </w:p>
        </w:tc>
        <w:tc>
          <w:tcPr>
            <w:tcW w:w="2202" w:type="dxa"/>
            <w:gridSpan w:val="2"/>
            <w:tcBorders>
              <w:top w:val="single" w:sz="4" w:space="0" w:color="auto"/>
              <w:left w:val="nil"/>
              <w:bottom w:val="single" w:sz="4" w:space="0" w:color="auto"/>
              <w:right w:val="single" w:sz="4" w:space="0" w:color="000000"/>
            </w:tcBorders>
            <w:shd w:val="clear" w:color="000000" w:fill="C6D9F1" w:themeFill="text2" w:themeFillTint="33"/>
            <w:noWrap/>
            <w:vAlign w:val="bottom"/>
            <w:hideMark/>
          </w:tcPr>
          <w:p w:rsidR="00850B0B" w:rsidRPr="00AE59EE" w:rsidRDefault="00850B0B" w:rsidP="00A9622A">
            <w:pPr>
              <w:spacing w:after="120"/>
              <w:jc w:val="center"/>
              <w:rPr>
                <w:rFonts w:ascii="Times New Roman" w:eastAsia="Times New Roman" w:hAnsi="Times New Roman" w:cs="Times New Roman"/>
                <w:b/>
                <w:bCs/>
                <w:sz w:val="18"/>
                <w:szCs w:val="18"/>
                <w:lang w:eastAsia="it-IT"/>
              </w:rPr>
            </w:pPr>
            <w:r w:rsidRPr="00AE59EE">
              <w:rPr>
                <w:rFonts w:ascii="Times New Roman" w:eastAsia="Times New Roman" w:hAnsi="Times New Roman" w:cs="Times New Roman"/>
                <w:b/>
                <w:bCs/>
                <w:sz w:val="18"/>
                <w:szCs w:val="18"/>
                <w:lang w:eastAsia="it-IT"/>
              </w:rPr>
              <w:t>Valore</w:t>
            </w:r>
          </w:p>
        </w:tc>
        <w:tc>
          <w:tcPr>
            <w:tcW w:w="191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50B0B" w:rsidRPr="00AE59EE" w:rsidRDefault="00850B0B" w:rsidP="00A9622A">
            <w:pPr>
              <w:spacing w:after="120"/>
              <w:jc w:val="center"/>
              <w:rPr>
                <w:rFonts w:ascii="Times New Roman" w:eastAsia="Times New Roman" w:hAnsi="Times New Roman" w:cs="Times New Roman"/>
                <w:b/>
                <w:bCs/>
                <w:sz w:val="18"/>
                <w:szCs w:val="18"/>
                <w:lang w:eastAsia="it-IT"/>
              </w:rPr>
            </w:pPr>
            <w:r w:rsidRPr="00AE59EE">
              <w:rPr>
                <w:rFonts w:ascii="Times New Roman" w:eastAsia="Times New Roman" w:hAnsi="Times New Roman" w:cs="Times New Roman"/>
                <w:b/>
                <w:bCs/>
                <w:sz w:val="18"/>
                <w:szCs w:val="18"/>
                <w:lang w:eastAsia="it-IT"/>
              </w:rPr>
              <w:t>variazione 2015-2014</w:t>
            </w:r>
          </w:p>
        </w:tc>
      </w:tr>
      <w:tr w:rsidR="00850B0B" w:rsidRPr="00AE59EE" w:rsidTr="00850B0B">
        <w:trPr>
          <w:trHeight w:val="360"/>
          <w:tblHeader/>
        </w:trPr>
        <w:tc>
          <w:tcPr>
            <w:tcW w:w="376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850B0B" w:rsidRPr="00AE59EE" w:rsidRDefault="00850B0B" w:rsidP="00850B0B">
            <w:pPr>
              <w:jc w:val="center"/>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w:t>
            </w:r>
          </w:p>
        </w:tc>
        <w:tc>
          <w:tcPr>
            <w:tcW w:w="1031" w:type="dxa"/>
            <w:tcBorders>
              <w:top w:val="nil"/>
              <w:left w:val="nil"/>
              <w:bottom w:val="single" w:sz="4" w:space="0" w:color="auto"/>
              <w:right w:val="single" w:sz="4" w:space="0" w:color="auto"/>
            </w:tcBorders>
            <w:shd w:val="clear" w:color="000000" w:fill="C6D9F1" w:themeFill="text2" w:themeFillTint="33"/>
            <w:noWrap/>
            <w:vAlign w:val="bottom"/>
            <w:hideMark/>
          </w:tcPr>
          <w:p w:rsidR="00850B0B" w:rsidRPr="00AE59EE" w:rsidRDefault="00850B0B" w:rsidP="00A9622A">
            <w:pPr>
              <w:spacing w:after="120"/>
              <w:jc w:val="center"/>
              <w:rPr>
                <w:rFonts w:ascii="Times New Roman" w:eastAsia="Times New Roman" w:hAnsi="Times New Roman" w:cs="Times New Roman"/>
                <w:b/>
                <w:bCs/>
                <w:sz w:val="18"/>
                <w:szCs w:val="18"/>
                <w:lang w:eastAsia="it-IT"/>
              </w:rPr>
            </w:pPr>
            <w:r w:rsidRPr="00AE59EE">
              <w:rPr>
                <w:rFonts w:ascii="Times New Roman" w:eastAsia="Times New Roman" w:hAnsi="Times New Roman" w:cs="Times New Roman"/>
                <w:b/>
                <w:bCs/>
                <w:sz w:val="18"/>
                <w:szCs w:val="18"/>
                <w:lang w:eastAsia="it-IT"/>
              </w:rPr>
              <w:t>2014</w:t>
            </w:r>
          </w:p>
        </w:tc>
        <w:tc>
          <w:tcPr>
            <w:tcW w:w="871" w:type="dxa"/>
            <w:tcBorders>
              <w:top w:val="nil"/>
              <w:left w:val="nil"/>
              <w:bottom w:val="single" w:sz="4" w:space="0" w:color="auto"/>
              <w:right w:val="single" w:sz="4" w:space="0" w:color="auto"/>
            </w:tcBorders>
            <w:shd w:val="clear" w:color="000000" w:fill="C6D9F1" w:themeFill="text2" w:themeFillTint="33"/>
            <w:noWrap/>
            <w:vAlign w:val="bottom"/>
            <w:hideMark/>
          </w:tcPr>
          <w:p w:rsidR="00850B0B" w:rsidRPr="00AE59EE" w:rsidRDefault="00850B0B" w:rsidP="00A9622A">
            <w:pPr>
              <w:spacing w:after="120"/>
              <w:jc w:val="center"/>
              <w:rPr>
                <w:rFonts w:ascii="Times New Roman" w:eastAsia="Times New Roman" w:hAnsi="Times New Roman" w:cs="Times New Roman"/>
                <w:b/>
                <w:bCs/>
                <w:sz w:val="18"/>
                <w:szCs w:val="18"/>
                <w:lang w:eastAsia="it-IT"/>
              </w:rPr>
            </w:pPr>
            <w:r w:rsidRPr="00AE59EE">
              <w:rPr>
                <w:rFonts w:ascii="Times New Roman" w:eastAsia="Times New Roman" w:hAnsi="Times New Roman" w:cs="Times New Roman"/>
                <w:b/>
                <w:bCs/>
                <w:sz w:val="18"/>
                <w:szCs w:val="18"/>
                <w:lang w:eastAsia="it-IT"/>
              </w:rPr>
              <w:t>2015</w:t>
            </w:r>
          </w:p>
        </w:tc>
        <w:tc>
          <w:tcPr>
            <w:tcW w:w="1101" w:type="dxa"/>
            <w:tcBorders>
              <w:top w:val="nil"/>
              <w:left w:val="nil"/>
              <w:bottom w:val="single" w:sz="4" w:space="0" w:color="auto"/>
              <w:right w:val="single" w:sz="4" w:space="0" w:color="auto"/>
            </w:tcBorders>
            <w:shd w:val="clear" w:color="000000" w:fill="C6D9F1" w:themeFill="text2" w:themeFillTint="33"/>
            <w:noWrap/>
            <w:vAlign w:val="bottom"/>
            <w:hideMark/>
          </w:tcPr>
          <w:p w:rsidR="00850B0B" w:rsidRPr="00AE59EE" w:rsidRDefault="00850B0B" w:rsidP="00A9622A">
            <w:pPr>
              <w:spacing w:after="120"/>
              <w:jc w:val="center"/>
              <w:rPr>
                <w:rFonts w:ascii="Times New Roman" w:eastAsia="Times New Roman" w:hAnsi="Times New Roman" w:cs="Times New Roman"/>
                <w:b/>
                <w:bCs/>
                <w:sz w:val="18"/>
                <w:szCs w:val="18"/>
                <w:lang w:eastAsia="it-IT"/>
              </w:rPr>
            </w:pPr>
            <w:r w:rsidRPr="00AE59EE">
              <w:rPr>
                <w:rFonts w:ascii="Times New Roman" w:eastAsia="Times New Roman" w:hAnsi="Times New Roman" w:cs="Times New Roman"/>
                <w:b/>
                <w:bCs/>
                <w:sz w:val="18"/>
                <w:szCs w:val="18"/>
                <w:lang w:eastAsia="it-IT"/>
              </w:rPr>
              <w:t>2014</w:t>
            </w:r>
          </w:p>
        </w:tc>
        <w:tc>
          <w:tcPr>
            <w:tcW w:w="1101" w:type="dxa"/>
            <w:tcBorders>
              <w:top w:val="nil"/>
              <w:left w:val="nil"/>
              <w:bottom w:val="single" w:sz="4" w:space="0" w:color="auto"/>
              <w:right w:val="single" w:sz="4" w:space="0" w:color="auto"/>
            </w:tcBorders>
            <w:shd w:val="clear" w:color="000000" w:fill="C6D9F1" w:themeFill="text2" w:themeFillTint="33"/>
            <w:noWrap/>
            <w:vAlign w:val="bottom"/>
            <w:hideMark/>
          </w:tcPr>
          <w:p w:rsidR="00850B0B" w:rsidRPr="00AE59EE" w:rsidRDefault="00850B0B" w:rsidP="00A9622A">
            <w:pPr>
              <w:spacing w:after="120"/>
              <w:jc w:val="center"/>
              <w:rPr>
                <w:rFonts w:ascii="Times New Roman" w:eastAsia="Times New Roman" w:hAnsi="Times New Roman" w:cs="Times New Roman"/>
                <w:b/>
                <w:bCs/>
                <w:sz w:val="18"/>
                <w:szCs w:val="18"/>
                <w:lang w:eastAsia="it-IT"/>
              </w:rPr>
            </w:pPr>
            <w:r w:rsidRPr="00AE59EE">
              <w:rPr>
                <w:rFonts w:ascii="Times New Roman" w:eastAsia="Times New Roman" w:hAnsi="Times New Roman" w:cs="Times New Roman"/>
                <w:b/>
                <w:bCs/>
                <w:sz w:val="18"/>
                <w:szCs w:val="18"/>
                <w:lang w:eastAsia="it-IT"/>
              </w:rPr>
              <w:t>2015</w:t>
            </w:r>
          </w:p>
        </w:tc>
        <w:tc>
          <w:tcPr>
            <w:tcW w:w="781" w:type="dxa"/>
            <w:tcBorders>
              <w:top w:val="nil"/>
              <w:left w:val="nil"/>
              <w:bottom w:val="single" w:sz="4" w:space="0" w:color="auto"/>
              <w:right w:val="single" w:sz="4" w:space="0" w:color="auto"/>
            </w:tcBorders>
            <w:shd w:val="clear" w:color="auto" w:fill="auto"/>
            <w:noWrap/>
            <w:vAlign w:val="bottom"/>
            <w:hideMark/>
          </w:tcPr>
          <w:p w:rsidR="00850B0B" w:rsidRPr="00AE59EE" w:rsidRDefault="00850B0B" w:rsidP="00A9622A">
            <w:pPr>
              <w:spacing w:after="120"/>
              <w:jc w:val="center"/>
              <w:rPr>
                <w:rFonts w:ascii="Times New Roman" w:eastAsia="Times New Roman" w:hAnsi="Times New Roman" w:cs="Times New Roman"/>
                <w:b/>
                <w:bCs/>
                <w:sz w:val="18"/>
                <w:szCs w:val="18"/>
                <w:lang w:eastAsia="it-IT"/>
              </w:rPr>
            </w:pPr>
            <w:r w:rsidRPr="00AE59EE">
              <w:rPr>
                <w:rFonts w:ascii="Times New Roman" w:eastAsia="Times New Roman" w:hAnsi="Times New Roman" w:cs="Times New Roman"/>
                <w:b/>
                <w:bCs/>
                <w:sz w:val="18"/>
                <w:szCs w:val="18"/>
                <w:lang w:eastAsia="it-IT"/>
              </w:rPr>
              <w:t>numero</w:t>
            </w:r>
          </w:p>
        </w:tc>
        <w:tc>
          <w:tcPr>
            <w:tcW w:w="1133" w:type="dxa"/>
            <w:tcBorders>
              <w:top w:val="nil"/>
              <w:left w:val="nil"/>
              <w:bottom w:val="single" w:sz="4" w:space="0" w:color="auto"/>
              <w:right w:val="single" w:sz="4" w:space="0" w:color="auto"/>
            </w:tcBorders>
            <w:shd w:val="clear" w:color="auto" w:fill="auto"/>
            <w:noWrap/>
            <w:vAlign w:val="bottom"/>
            <w:hideMark/>
          </w:tcPr>
          <w:p w:rsidR="00850B0B" w:rsidRPr="00AE59EE" w:rsidRDefault="00850B0B" w:rsidP="00A9622A">
            <w:pPr>
              <w:spacing w:after="120"/>
              <w:jc w:val="center"/>
              <w:rPr>
                <w:rFonts w:ascii="Times New Roman" w:eastAsia="Times New Roman" w:hAnsi="Times New Roman" w:cs="Times New Roman"/>
                <w:b/>
                <w:bCs/>
                <w:sz w:val="18"/>
                <w:szCs w:val="18"/>
                <w:lang w:eastAsia="it-IT"/>
              </w:rPr>
            </w:pPr>
            <w:r w:rsidRPr="00AE59EE">
              <w:rPr>
                <w:rFonts w:ascii="Times New Roman" w:eastAsia="Times New Roman" w:hAnsi="Times New Roman" w:cs="Times New Roman"/>
                <w:b/>
                <w:bCs/>
                <w:sz w:val="18"/>
                <w:szCs w:val="18"/>
                <w:lang w:eastAsia="it-IT"/>
              </w:rPr>
              <w:t>valore</w:t>
            </w:r>
          </w:p>
        </w:tc>
      </w:tr>
      <w:tr w:rsidR="00850B0B" w:rsidRPr="00AE59EE" w:rsidTr="00A9622A">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850B0B" w:rsidRPr="00AE59EE" w:rsidRDefault="00850B0B" w:rsidP="00A9622A">
            <w:pPr>
              <w:spacing w:after="120"/>
              <w:rPr>
                <w:rFonts w:ascii="Times New Roman" w:eastAsia="Times New Roman" w:hAnsi="Times New Roman" w:cs="Times New Roman"/>
                <w:b/>
                <w:bCs/>
                <w:sz w:val="18"/>
                <w:szCs w:val="18"/>
                <w:lang w:eastAsia="it-IT"/>
              </w:rPr>
            </w:pPr>
            <w:r w:rsidRPr="00AE59EE">
              <w:rPr>
                <w:rFonts w:ascii="Times New Roman" w:eastAsia="Times New Roman" w:hAnsi="Times New Roman" w:cs="Times New Roman"/>
                <w:b/>
                <w:bCs/>
                <w:sz w:val="18"/>
                <w:szCs w:val="18"/>
                <w:lang w:eastAsia="it-IT"/>
              </w:rPr>
              <w:t>ALTRE PRESTAZIONI</w:t>
            </w:r>
          </w:p>
        </w:tc>
        <w:tc>
          <w:tcPr>
            <w:tcW w:w="103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45.662 </w:t>
            </w:r>
          </w:p>
        </w:tc>
        <w:tc>
          <w:tcPr>
            <w:tcW w:w="87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49.424</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€899.638 </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€951.438 </w:t>
            </w:r>
          </w:p>
        </w:tc>
        <w:tc>
          <w:tcPr>
            <w:tcW w:w="78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3.762 </w:t>
            </w:r>
          </w:p>
        </w:tc>
        <w:tc>
          <w:tcPr>
            <w:tcW w:w="1133"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€51.800 </w:t>
            </w:r>
          </w:p>
        </w:tc>
      </w:tr>
      <w:tr w:rsidR="00850B0B" w:rsidRPr="00AE59EE" w:rsidTr="00A9622A">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850B0B" w:rsidRPr="00AE59EE" w:rsidRDefault="00850B0B" w:rsidP="00A9622A">
            <w:pPr>
              <w:spacing w:after="120"/>
              <w:rPr>
                <w:rFonts w:ascii="Times New Roman" w:eastAsia="Times New Roman" w:hAnsi="Times New Roman" w:cs="Times New Roman"/>
                <w:b/>
                <w:bCs/>
                <w:sz w:val="18"/>
                <w:szCs w:val="18"/>
                <w:lang w:eastAsia="it-IT"/>
              </w:rPr>
            </w:pPr>
            <w:r w:rsidRPr="00AE59EE">
              <w:rPr>
                <w:rFonts w:ascii="Times New Roman" w:eastAsia="Times New Roman" w:hAnsi="Times New Roman" w:cs="Times New Roman"/>
                <w:b/>
                <w:bCs/>
                <w:sz w:val="18"/>
                <w:szCs w:val="18"/>
                <w:lang w:eastAsia="it-IT"/>
              </w:rPr>
              <w:t>ANESTESIA</w:t>
            </w:r>
          </w:p>
        </w:tc>
        <w:tc>
          <w:tcPr>
            <w:tcW w:w="103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133 </w:t>
            </w:r>
          </w:p>
        </w:tc>
        <w:tc>
          <w:tcPr>
            <w:tcW w:w="87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65</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€1.450 </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€744 </w:t>
            </w:r>
          </w:p>
        </w:tc>
        <w:tc>
          <w:tcPr>
            <w:tcW w:w="78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FF0000"/>
                <w:sz w:val="18"/>
                <w:szCs w:val="18"/>
                <w:lang w:eastAsia="it-IT"/>
              </w:rPr>
            </w:pPr>
            <w:r w:rsidRPr="00AE59EE">
              <w:rPr>
                <w:rFonts w:ascii="Times New Roman" w:eastAsia="Times New Roman" w:hAnsi="Times New Roman" w:cs="Times New Roman"/>
                <w:color w:val="FF0000"/>
                <w:sz w:val="18"/>
                <w:szCs w:val="18"/>
                <w:lang w:eastAsia="it-IT"/>
              </w:rPr>
              <w:t>(68)</w:t>
            </w:r>
          </w:p>
        </w:tc>
        <w:tc>
          <w:tcPr>
            <w:tcW w:w="1133"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FF0000"/>
                <w:sz w:val="18"/>
                <w:szCs w:val="18"/>
                <w:lang w:eastAsia="it-IT"/>
              </w:rPr>
            </w:pPr>
            <w:r w:rsidRPr="00AE59EE">
              <w:rPr>
                <w:rFonts w:ascii="Times New Roman" w:eastAsia="Times New Roman" w:hAnsi="Times New Roman" w:cs="Times New Roman"/>
                <w:color w:val="FF0000"/>
                <w:sz w:val="18"/>
                <w:szCs w:val="18"/>
                <w:lang w:eastAsia="it-IT"/>
              </w:rPr>
              <w:t>(€706)</w:t>
            </w:r>
          </w:p>
        </w:tc>
      </w:tr>
      <w:tr w:rsidR="00850B0B" w:rsidRPr="00AE59EE" w:rsidTr="00A9622A">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850B0B" w:rsidRPr="00AE59EE" w:rsidRDefault="00850B0B" w:rsidP="00A9622A">
            <w:pPr>
              <w:spacing w:after="120"/>
              <w:rPr>
                <w:rFonts w:ascii="Times New Roman" w:eastAsia="Times New Roman" w:hAnsi="Times New Roman" w:cs="Times New Roman"/>
                <w:b/>
                <w:bCs/>
                <w:sz w:val="18"/>
                <w:szCs w:val="18"/>
                <w:lang w:eastAsia="it-IT"/>
              </w:rPr>
            </w:pPr>
            <w:r w:rsidRPr="00AE59EE">
              <w:rPr>
                <w:rFonts w:ascii="Times New Roman" w:eastAsia="Times New Roman" w:hAnsi="Times New Roman" w:cs="Times New Roman"/>
                <w:b/>
                <w:bCs/>
                <w:sz w:val="18"/>
                <w:szCs w:val="18"/>
                <w:lang w:eastAsia="it-IT"/>
              </w:rPr>
              <w:t>CARDIOLOGIA</w:t>
            </w:r>
          </w:p>
        </w:tc>
        <w:tc>
          <w:tcPr>
            <w:tcW w:w="103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5.937 </w:t>
            </w:r>
          </w:p>
        </w:tc>
        <w:tc>
          <w:tcPr>
            <w:tcW w:w="87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5.662</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€229.915 </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€220.394 </w:t>
            </w:r>
          </w:p>
        </w:tc>
        <w:tc>
          <w:tcPr>
            <w:tcW w:w="78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FF0000"/>
                <w:sz w:val="18"/>
                <w:szCs w:val="18"/>
                <w:lang w:eastAsia="it-IT"/>
              </w:rPr>
            </w:pPr>
            <w:r w:rsidRPr="00AE59EE">
              <w:rPr>
                <w:rFonts w:ascii="Times New Roman" w:eastAsia="Times New Roman" w:hAnsi="Times New Roman" w:cs="Times New Roman"/>
                <w:color w:val="FF0000"/>
                <w:sz w:val="18"/>
                <w:szCs w:val="18"/>
                <w:lang w:eastAsia="it-IT"/>
              </w:rPr>
              <w:t>(275)</w:t>
            </w:r>
          </w:p>
        </w:tc>
        <w:tc>
          <w:tcPr>
            <w:tcW w:w="1133"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FF0000"/>
                <w:sz w:val="18"/>
                <w:szCs w:val="18"/>
                <w:lang w:eastAsia="it-IT"/>
              </w:rPr>
            </w:pPr>
            <w:r w:rsidRPr="00AE59EE">
              <w:rPr>
                <w:rFonts w:ascii="Times New Roman" w:eastAsia="Times New Roman" w:hAnsi="Times New Roman" w:cs="Times New Roman"/>
                <w:color w:val="FF0000"/>
                <w:sz w:val="18"/>
                <w:szCs w:val="18"/>
                <w:lang w:eastAsia="it-IT"/>
              </w:rPr>
              <w:t>(€9.521)</w:t>
            </w:r>
          </w:p>
        </w:tc>
      </w:tr>
      <w:tr w:rsidR="00850B0B" w:rsidRPr="00AE59EE" w:rsidTr="00A9622A">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850B0B" w:rsidRPr="00AE59EE" w:rsidRDefault="00850B0B" w:rsidP="00A9622A">
            <w:pPr>
              <w:spacing w:after="120"/>
              <w:rPr>
                <w:rFonts w:ascii="Times New Roman" w:eastAsia="Times New Roman" w:hAnsi="Times New Roman" w:cs="Times New Roman"/>
                <w:b/>
                <w:bCs/>
                <w:sz w:val="18"/>
                <w:szCs w:val="18"/>
                <w:lang w:eastAsia="it-IT"/>
              </w:rPr>
            </w:pPr>
            <w:r w:rsidRPr="00AE59EE">
              <w:rPr>
                <w:rFonts w:ascii="Times New Roman" w:eastAsia="Times New Roman" w:hAnsi="Times New Roman" w:cs="Times New Roman"/>
                <w:b/>
                <w:bCs/>
                <w:sz w:val="18"/>
                <w:szCs w:val="18"/>
                <w:lang w:eastAsia="it-IT"/>
              </w:rPr>
              <w:t>CHIRURGIA GENERALE</w:t>
            </w:r>
          </w:p>
        </w:tc>
        <w:tc>
          <w:tcPr>
            <w:tcW w:w="103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3.176 </w:t>
            </w:r>
          </w:p>
        </w:tc>
        <w:tc>
          <w:tcPr>
            <w:tcW w:w="87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2.607</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€150.548 </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€227.654 </w:t>
            </w:r>
          </w:p>
        </w:tc>
        <w:tc>
          <w:tcPr>
            <w:tcW w:w="78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FF0000"/>
                <w:sz w:val="18"/>
                <w:szCs w:val="18"/>
                <w:lang w:eastAsia="it-IT"/>
              </w:rPr>
            </w:pPr>
            <w:r w:rsidRPr="00AE59EE">
              <w:rPr>
                <w:rFonts w:ascii="Times New Roman" w:eastAsia="Times New Roman" w:hAnsi="Times New Roman" w:cs="Times New Roman"/>
                <w:color w:val="FF0000"/>
                <w:sz w:val="18"/>
                <w:szCs w:val="18"/>
                <w:lang w:eastAsia="it-IT"/>
              </w:rPr>
              <w:t>(569)</w:t>
            </w:r>
          </w:p>
        </w:tc>
        <w:tc>
          <w:tcPr>
            <w:tcW w:w="1133"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€77.106 </w:t>
            </w:r>
          </w:p>
        </w:tc>
      </w:tr>
      <w:tr w:rsidR="00850B0B" w:rsidRPr="00AE59EE" w:rsidTr="00A9622A">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850B0B" w:rsidRPr="00AE59EE" w:rsidRDefault="00850B0B" w:rsidP="00A9622A">
            <w:pPr>
              <w:spacing w:after="120"/>
              <w:rPr>
                <w:rFonts w:ascii="Times New Roman" w:eastAsia="Times New Roman" w:hAnsi="Times New Roman" w:cs="Times New Roman"/>
                <w:b/>
                <w:bCs/>
                <w:sz w:val="18"/>
                <w:szCs w:val="18"/>
                <w:lang w:eastAsia="it-IT"/>
              </w:rPr>
            </w:pPr>
            <w:r w:rsidRPr="00AE59EE">
              <w:rPr>
                <w:rFonts w:ascii="Times New Roman" w:eastAsia="Times New Roman" w:hAnsi="Times New Roman" w:cs="Times New Roman"/>
                <w:b/>
                <w:bCs/>
                <w:sz w:val="18"/>
                <w:szCs w:val="18"/>
                <w:lang w:eastAsia="it-IT"/>
              </w:rPr>
              <w:t>CHIRURGIA PLASTICA</w:t>
            </w:r>
          </w:p>
        </w:tc>
        <w:tc>
          <w:tcPr>
            <w:tcW w:w="103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63 </w:t>
            </w:r>
          </w:p>
        </w:tc>
        <w:tc>
          <w:tcPr>
            <w:tcW w:w="87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450</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€788 </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€14.939 </w:t>
            </w:r>
          </w:p>
        </w:tc>
        <w:tc>
          <w:tcPr>
            <w:tcW w:w="78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387 </w:t>
            </w:r>
          </w:p>
        </w:tc>
        <w:tc>
          <w:tcPr>
            <w:tcW w:w="1133"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€14.151 </w:t>
            </w:r>
          </w:p>
        </w:tc>
      </w:tr>
      <w:tr w:rsidR="00850B0B" w:rsidRPr="00AE59EE" w:rsidTr="00A9622A">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850B0B" w:rsidRPr="00AE59EE" w:rsidRDefault="00850B0B" w:rsidP="00A9622A">
            <w:pPr>
              <w:spacing w:after="120"/>
              <w:rPr>
                <w:rFonts w:ascii="Times New Roman" w:eastAsia="Times New Roman" w:hAnsi="Times New Roman" w:cs="Times New Roman"/>
                <w:b/>
                <w:bCs/>
                <w:sz w:val="18"/>
                <w:szCs w:val="18"/>
                <w:lang w:eastAsia="it-IT"/>
              </w:rPr>
            </w:pPr>
            <w:r w:rsidRPr="00AE59EE">
              <w:rPr>
                <w:rFonts w:ascii="Times New Roman" w:eastAsia="Times New Roman" w:hAnsi="Times New Roman" w:cs="Times New Roman"/>
                <w:b/>
                <w:bCs/>
                <w:sz w:val="18"/>
                <w:szCs w:val="18"/>
                <w:lang w:eastAsia="it-IT"/>
              </w:rPr>
              <w:t>CHIRURGIA VASCOLARE  - ANGIOLO</w:t>
            </w:r>
          </w:p>
        </w:tc>
        <w:tc>
          <w:tcPr>
            <w:tcW w:w="103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1.744 </w:t>
            </w:r>
          </w:p>
        </w:tc>
        <w:tc>
          <w:tcPr>
            <w:tcW w:w="87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2.073</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€69.941 </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€83.219 </w:t>
            </w:r>
          </w:p>
        </w:tc>
        <w:tc>
          <w:tcPr>
            <w:tcW w:w="78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329 </w:t>
            </w:r>
          </w:p>
        </w:tc>
        <w:tc>
          <w:tcPr>
            <w:tcW w:w="1133"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€13.278 </w:t>
            </w:r>
          </w:p>
        </w:tc>
      </w:tr>
      <w:tr w:rsidR="00850B0B" w:rsidRPr="00AE59EE" w:rsidTr="00A9622A">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850B0B" w:rsidRPr="00AE59EE" w:rsidRDefault="00850B0B" w:rsidP="00A9622A">
            <w:pPr>
              <w:spacing w:after="120"/>
              <w:rPr>
                <w:rFonts w:ascii="Times New Roman" w:eastAsia="Times New Roman" w:hAnsi="Times New Roman" w:cs="Times New Roman"/>
                <w:b/>
                <w:bCs/>
                <w:sz w:val="18"/>
                <w:szCs w:val="18"/>
                <w:lang w:eastAsia="it-IT"/>
              </w:rPr>
            </w:pPr>
            <w:r w:rsidRPr="00AE59EE">
              <w:rPr>
                <w:rFonts w:ascii="Times New Roman" w:eastAsia="Times New Roman" w:hAnsi="Times New Roman" w:cs="Times New Roman"/>
                <w:b/>
                <w:bCs/>
                <w:sz w:val="18"/>
                <w:szCs w:val="18"/>
                <w:lang w:eastAsia="it-IT"/>
              </w:rPr>
              <w:t>DERMOSIFILOPATIA</w:t>
            </w:r>
          </w:p>
        </w:tc>
        <w:tc>
          <w:tcPr>
            <w:tcW w:w="103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1.545 </w:t>
            </w:r>
          </w:p>
        </w:tc>
        <w:tc>
          <w:tcPr>
            <w:tcW w:w="87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1.292</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€13.765 </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€11.564 </w:t>
            </w:r>
          </w:p>
        </w:tc>
        <w:tc>
          <w:tcPr>
            <w:tcW w:w="78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FF0000"/>
                <w:sz w:val="18"/>
                <w:szCs w:val="18"/>
                <w:lang w:eastAsia="it-IT"/>
              </w:rPr>
            </w:pPr>
            <w:r w:rsidRPr="00AE59EE">
              <w:rPr>
                <w:rFonts w:ascii="Times New Roman" w:eastAsia="Times New Roman" w:hAnsi="Times New Roman" w:cs="Times New Roman"/>
                <w:color w:val="FF0000"/>
                <w:sz w:val="18"/>
                <w:szCs w:val="18"/>
                <w:lang w:eastAsia="it-IT"/>
              </w:rPr>
              <w:t xml:space="preserve">(253) </w:t>
            </w:r>
          </w:p>
        </w:tc>
        <w:tc>
          <w:tcPr>
            <w:tcW w:w="1133"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FF0000"/>
                <w:sz w:val="18"/>
                <w:szCs w:val="18"/>
                <w:lang w:eastAsia="it-IT"/>
              </w:rPr>
            </w:pPr>
            <w:r w:rsidRPr="00AE59EE">
              <w:rPr>
                <w:rFonts w:ascii="Times New Roman" w:eastAsia="Times New Roman" w:hAnsi="Times New Roman" w:cs="Times New Roman"/>
                <w:color w:val="FF0000"/>
                <w:sz w:val="18"/>
                <w:szCs w:val="18"/>
                <w:lang w:eastAsia="it-IT"/>
              </w:rPr>
              <w:t xml:space="preserve">(€2.201) </w:t>
            </w:r>
          </w:p>
        </w:tc>
      </w:tr>
      <w:tr w:rsidR="00850B0B" w:rsidRPr="00AE59EE" w:rsidTr="00A9622A">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850B0B" w:rsidRPr="00AE59EE" w:rsidRDefault="00850B0B" w:rsidP="00A9622A">
            <w:pPr>
              <w:spacing w:after="120"/>
              <w:rPr>
                <w:rFonts w:ascii="Times New Roman" w:eastAsia="Times New Roman" w:hAnsi="Times New Roman" w:cs="Times New Roman"/>
                <w:b/>
                <w:bCs/>
                <w:sz w:val="18"/>
                <w:szCs w:val="18"/>
                <w:lang w:eastAsia="it-IT"/>
              </w:rPr>
            </w:pPr>
            <w:r w:rsidRPr="00AE59EE">
              <w:rPr>
                <w:rFonts w:ascii="Times New Roman" w:eastAsia="Times New Roman" w:hAnsi="Times New Roman" w:cs="Times New Roman"/>
                <w:b/>
                <w:bCs/>
                <w:sz w:val="18"/>
                <w:szCs w:val="18"/>
                <w:lang w:eastAsia="it-IT"/>
              </w:rPr>
              <w:t>DIAGNOSTICA PER IMMAGINI: MEDICINA NUCLEARE</w:t>
            </w:r>
          </w:p>
        </w:tc>
        <w:tc>
          <w:tcPr>
            <w:tcW w:w="103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4.132 </w:t>
            </w:r>
          </w:p>
        </w:tc>
        <w:tc>
          <w:tcPr>
            <w:tcW w:w="87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4.206</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€4.000.292 </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€4.026.209 </w:t>
            </w:r>
          </w:p>
        </w:tc>
        <w:tc>
          <w:tcPr>
            <w:tcW w:w="78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74</w:t>
            </w:r>
          </w:p>
        </w:tc>
        <w:tc>
          <w:tcPr>
            <w:tcW w:w="1133"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€25.917</w:t>
            </w:r>
          </w:p>
        </w:tc>
      </w:tr>
      <w:tr w:rsidR="00850B0B" w:rsidRPr="00AE59EE" w:rsidTr="00A9622A">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850B0B" w:rsidRPr="00AE59EE" w:rsidRDefault="00850B0B" w:rsidP="00A9622A">
            <w:pPr>
              <w:spacing w:after="120"/>
              <w:rPr>
                <w:rFonts w:ascii="Times New Roman" w:eastAsia="Times New Roman" w:hAnsi="Times New Roman" w:cs="Times New Roman"/>
                <w:b/>
                <w:bCs/>
                <w:sz w:val="18"/>
                <w:szCs w:val="18"/>
                <w:lang w:eastAsia="it-IT"/>
              </w:rPr>
            </w:pPr>
            <w:r w:rsidRPr="00AE59EE">
              <w:rPr>
                <w:rFonts w:ascii="Times New Roman" w:eastAsia="Times New Roman" w:hAnsi="Times New Roman" w:cs="Times New Roman"/>
                <w:b/>
                <w:bCs/>
                <w:sz w:val="18"/>
                <w:szCs w:val="18"/>
                <w:lang w:eastAsia="it-IT"/>
              </w:rPr>
              <w:t>DIAGNOSTICA PER IMMAGINI: RADIOLOGIA DIAGNOSTICA</w:t>
            </w:r>
          </w:p>
        </w:tc>
        <w:tc>
          <w:tcPr>
            <w:tcW w:w="103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23.838 </w:t>
            </w:r>
          </w:p>
        </w:tc>
        <w:tc>
          <w:tcPr>
            <w:tcW w:w="87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23.926</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€2.304.209 </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€2.220.323 </w:t>
            </w:r>
          </w:p>
        </w:tc>
        <w:tc>
          <w:tcPr>
            <w:tcW w:w="78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88</w:t>
            </w:r>
          </w:p>
        </w:tc>
        <w:tc>
          <w:tcPr>
            <w:tcW w:w="1133"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FF0000"/>
                <w:sz w:val="18"/>
                <w:szCs w:val="18"/>
                <w:lang w:eastAsia="it-IT"/>
              </w:rPr>
            </w:pPr>
            <w:r w:rsidRPr="00AE59EE">
              <w:rPr>
                <w:rFonts w:ascii="Times New Roman" w:eastAsia="Times New Roman" w:hAnsi="Times New Roman" w:cs="Times New Roman"/>
                <w:color w:val="FF0000"/>
                <w:sz w:val="18"/>
                <w:szCs w:val="18"/>
                <w:lang w:eastAsia="it-IT"/>
              </w:rPr>
              <w:t>(€83.886)</w:t>
            </w:r>
          </w:p>
        </w:tc>
      </w:tr>
      <w:tr w:rsidR="00850B0B" w:rsidRPr="00AE59EE" w:rsidTr="00A9622A">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850B0B" w:rsidRPr="00AE59EE" w:rsidRDefault="00850B0B" w:rsidP="00A9622A">
            <w:pPr>
              <w:spacing w:after="120"/>
              <w:rPr>
                <w:rFonts w:ascii="Times New Roman" w:eastAsia="Times New Roman" w:hAnsi="Times New Roman" w:cs="Times New Roman"/>
                <w:b/>
                <w:bCs/>
                <w:sz w:val="18"/>
                <w:szCs w:val="18"/>
                <w:lang w:eastAsia="it-IT"/>
              </w:rPr>
            </w:pPr>
            <w:r w:rsidRPr="00AE59EE">
              <w:rPr>
                <w:rFonts w:ascii="Times New Roman" w:eastAsia="Times New Roman" w:hAnsi="Times New Roman" w:cs="Times New Roman"/>
                <w:b/>
                <w:bCs/>
                <w:sz w:val="18"/>
                <w:szCs w:val="18"/>
                <w:lang w:eastAsia="it-IT"/>
              </w:rPr>
              <w:t>ENDOCRINOLOGIA</w:t>
            </w:r>
          </w:p>
        </w:tc>
        <w:tc>
          <w:tcPr>
            <w:tcW w:w="103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763 </w:t>
            </w:r>
          </w:p>
        </w:tc>
        <w:tc>
          <w:tcPr>
            <w:tcW w:w="87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786</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€27.621 </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€28.453 </w:t>
            </w:r>
          </w:p>
        </w:tc>
        <w:tc>
          <w:tcPr>
            <w:tcW w:w="78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23</w:t>
            </w:r>
          </w:p>
        </w:tc>
        <w:tc>
          <w:tcPr>
            <w:tcW w:w="1133"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€832 </w:t>
            </w:r>
          </w:p>
        </w:tc>
      </w:tr>
      <w:tr w:rsidR="00850B0B" w:rsidRPr="00AE59EE" w:rsidTr="00A9622A">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850B0B" w:rsidRPr="00AE59EE" w:rsidRDefault="00850B0B" w:rsidP="00A9622A">
            <w:pPr>
              <w:spacing w:after="120"/>
              <w:rPr>
                <w:rFonts w:ascii="Times New Roman" w:eastAsia="Times New Roman" w:hAnsi="Times New Roman" w:cs="Times New Roman"/>
                <w:b/>
                <w:bCs/>
                <w:sz w:val="18"/>
                <w:szCs w:val="18"/>
                <w:lang w:eastAsia="it-IT"/>
              </w:rPr>
            </w:pPr>
            <w:r w:rsidRPr="00AE59EE">
              <w:rPr>
                <w:rFonts w:ascii="Times New Roman" w:eastAsia="Times New Roman" w:hAnsi="Times New Roman" w:cs="Times New Roman"/>
                <w:b/>
                <w:bCs/>
                <w:sz w:val="18"/>
                <w:szCs w:val="18"/>
                <w:lang w:eastAsia="it-IT"/>
              </w:rPr>
              <w:t xml:space="preserve">GASTROENTEROLOGIA - CHIRURGIA </w:t>
            </w:r>
          </w:p>
        </w:tc>
        <w:tc>
          <w:tcPr>
            <w:tcW w:w="103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6.599 </w:t>
            </w:r>
          </w:p>
        </w:tc>
        <w:tc>
          <w:tcPr>
            <w:tcW w:w="87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6.322</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€569.244 </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€550.006 </w:t>
            </w:r>
          </w:p>
        </w:tc>
        <w:tc>
          <w:tcPr>
            <w:tcW w:w="78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FF0000"/>
                <w:sz w:val="18"/>
                <w:szCs w:val="18"/>
                <w:lang w:eastAsia="it-IT"/>
              </w:rPr>
            </w:pPr>
            <w:r w:rsidRPr="00AE59EE">
              <w:rPr>
                <w:rFonts w:ascii="Times New Roman" w:eastAsia="Times New Roman" w:hAnsi="Times New Roman" w:cs="Times New Roman"/>
                <w:color w:val="FF0000"/>
                <w:sz w:val="18"/>
                <w:szCs w:val="18"/>
                <w:lang w:eastAsia="it-IT"/>
              </w:rPr>
              <w:t>(277)</w:t>
            </w:r>
          </w:p>
        </w:tc>
        <w:tc>
          <w:tcPr>
            <w:tcW w:w="1133"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FF0000"/>
                <w:sz w:val="18"/>
                <w:szCs w:val="18"/>
                <w:lang w:eastAsia="it-IT"/>
              </w:rPr>
            </w:pPr>
            <w:r w:rsidRPr="00AE59EE">
              <w:rPr>
                <w:rFonts w:ascii="Times New Roman" w:eastAsia="Times New Roman" w:hAnsi="Times New Roman" w:cs="Times New Roman"/>
                <w:color w:val="FF0000"/>
                <w:sz w:val="18"/>
                <w:szCs w:val="18"/>
                <w:lang w:eastAsia="it-IT"/>
              </w:rPr>
              <w:t>(€19.238)</w:t>
            </w:r>
          </w:p>
        </w:tc>
      </w:tr>
      <w:tr w:rsidR="00850B0B" w:rsidRPr="00AE59EE" w:rsidTr="00A9622A">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850B0B" w:rsidRPr="00AE59EE" w:rsidRDefault="00850B0B" w:rsidP="00A9622A">
            <w:pPr>
              <w:spacing w:after="120"/>
              <w:rPr>
                <w:rFonts w:ascii="Times New Roman" w:eastAsia="Times New Roman" w:hAnsi="Times New Roman" w:cs="Times New Roman"/>
                <w:b/>
                <w:bCs/>
                <w:sz w:val="18"/>
                <w:szCs w:val="18"/>
                <w:lang w:eastAsia="it-IT"/>
              </w:rPr>
            </w:pPr>
            <w:r w:rsidRPr="00AE59EE">
              <w:rPr>
                <w:rFonts w:ascii="Times New Roman" w:eastAsia="Times New Roman" w:hAnsi="Times New Roman" w:cs="Times New Roman"/>
                <w:b/>
                <w:bCs/>
                <w:sz w:val="18"/>
                <w:szCs w:val="18"/>
                <w:lang w:eastAsia="it-IT"/>
              </w:rPr>
              <w:t xml:space="preserve">LAB. ANALISI CHIMICO CLINICHE </w:t>
            </w:r>
          </w:p>
        </w:tc>
        <w:tc>
          <w:tcPr>
            <w:tcW w:w="103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229.265 </w:t>
            </w:r>
          </w:p>
        </w:tc>
        <w:tc>
          <w:tcPr>
            <w:tcW w:w="87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251.676</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€2.698.162 </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€3.215.312 </w:t>
            </w:r>
          </w:p>
        </w:tc>
        <w:tc>
          <w:tcPr>
            <w:tcW w:w="78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22.411 </w:t>
            </w:r>
          </w:p>
        </w:tc>
        <w:tc>
          <w:tcPr>
            <w:tcW w:w="1133"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sz w:val="18"/>
                <w:szCs w:val="18"/>
                <w:lang w:eastAsia="it-IT"/>
              </w:rPr>
            </w:pPr>
            <w:r w:rsidRPr="00AE59EE">
              <w:rPr>
                <w:rFonts w:ascii="Times New Roman" w:eastAsia="Times New Roman" w:hAnsi="Times New Roman" w:cs="Times New Roman"/>
                <w:sz w:val="18"/>
                <w:szCs w:val="18"/>
                <w:lang w:eastAsia="it-IT"/>
              </w:rPr>
              <w:t>€517.150</w:t>
            </w:r>
          </w:p>
        </w:tc>
      </w:tr>
      <w:tr w:rsidR="00850B0B" w:rsidRPr="00AE59EE" w:rsidTr="00A9622A">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850B0B" w:rsidRPr="00AE59EE" w:rsidRDefault="00850B0B" w:rsidP="00A9622A">
            <w:pPr>
              <w:spacing w:after="120"/>
              <w:rPr>
                <w:rFonts w:ascii="Times New Roman" w:eastAsia="Times New Roman" w:hAnsi="Times New Roman" w:cs="Times New Roman"/>
                <w:b/>
                <w:bCs/>
                <w:sz w:val="18"/>
                <w:szCs w:val="18"/>
                <w:lang w:eastAsia="it-IT"/>
              </w:rPr>
            </w:pPr>
            <w:r w:rsidRPr="00AE59EE">
              <w:rPr>
                <w:rFonts w:ascii="Times New Roman" w:eastAsia="Times New Roman" w:hAnsi="Times New Roman" w:cs="Times New Roman"/>
                <w:b/>
                <w:bCs/>
                <w:sz w:val="18"/>
                <w:szCs w:val="18"/>
                <w:lang w:eastAsia="it-IT"/>
              </w:rPr>
              <w:t>NEFROLOGIA</w:t>
            </w:r>
          </w:p>
        </w:tc>
        <w:tc>
          <w:tcPr>
            <w:tcW w:w="103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2.343 </w:t>
            </w:r>
          </w:p>
        </w:tc>
        <w:tc>
          <w:tcPr>
            <w:tcW w:w="87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2.624</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€46.384 </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€51.992 </w:t>
            </w:r>
          </w:p>
        </w:tc>
        <w:tc>
          <w:tcPr>
            <w:tcW w:w="78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281 </w:t>
            </w:r>
          </w:p>
        </w:tc>
        <w:tc>
          <w:tcPr>
            <w:tcW w:w="1133"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€5.608 </w:t>
            </w:r>
          </w:p>
        </w:tc>
      </w:tr>
      <w:tr w:rsidR="00850B0B" w:rsidRPr="00AE59EE" w:rsidTr="00A9622A">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850B0B" w:rsidRPr="00AE59EE" w:rsidRDefault="00850B0B" w:rsidP="00A9622A">
            <w:pPr>
              <w:spacing w:after="120"/>
              <w:rPr>
                <w:rFonts w:ascii="Times New Roman" w:eastAsia="Times New Roman" w:hAnsi="Times New Roman" w:cs="Times New Roman"/>
                <w:b/>
                <w:bCs/>
                <w:sz w:val="18"/>
                <w:szCs w:val="18"/>
                <w:lang w:eastAsia="it-IT"/>
              </w:rPr>
            </w:pPr>
            <w:r w:rsidRPr="00AE59EE">
              <w:rPr>
                <w:rFonts w:ascii="Times New Roman" w:eastAsia="Times New Roman" w:hAnsi="Times New Roman" w:cs="Times New Roman"/>
                <w:b/>
                <w:bCs/>
                <w:sz w:val="18"/>
                <w:szCs w:val="18"/>
                <w:lang w:eastAsia="it-IT"/>
              </w:rPr>
              <w:t>NEUROCHIRURGIA</w:t>
            </w:r>
          </w:p>
        </w:tc>
        <w:tc>
          <w:tcPr>
            <w:tcW w:w="103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4 </w:t>
            </w:r>
          </w:p>
        </w:tc>
        <w:tc>
          <w:tcPr>
            <w:tcW w:w="87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14</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€527 </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€1.844 </w:t>
            </w:r>
          </w:p>
        </w:tc>
        <w:tc>
          <w:tcPr>
            <w:tcW w:w="78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10</w:t>
            </w:r>
          </w:p>
        </w:tc>
        <w:tc>
          <w:tcPr>
            <w:tcW w:w="1133"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€1.317</w:t>
            </w:r>
          </w:p>
        </w:tc>
      </w:tr>
      <w:tr w:rsidR="00850B0B" w:rsidRPr="00AE59EE" w:rsidTr="00A9622A">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850B0B" w:rsidRPr="00AE59EE" w:rsidRDefault="00850B0B" w:rsidP="00A9622A">
            <w:pPr>
              <w:spacing w:after="120"/>
              <w:rPr>
                <w:rFonts w:ascii="Times New Roman" w:eastAsia="Times New Roman" w:hAnsi="Times New Roman" w:cs="Times New Roman"/>
                <w:b/>
                <w:bCs/>
                <w:sz w:val="18"/>
                <w:szCs w:val="18"/>
                <w:lang w:eastAsia="it-IT"/>
              </w:rPr>
            </w:pPr>
            <w:r w:rsidRPr="00AE59EE">
              <w:rPr>
                <w:rFonts w:ascii="Times New Roman" w:eastAsia="Times New Roman" w:hAnsi="Times New Roman" w:cs="Times New Roman"/>
                <w:b/>
                <w:bCs/>
                <w:sz w:val="18"/>
                <w:szCs w:val="18"/>
                <w:lang w:eastAsia="it-IT"/>
              </w:rPr>
              <w:t>NEUROLOGIA</w:t>
            </w:r>
          </w:p>
        </w:tc>
        <w:tc>
          <w:tcPr>
            <w:tcW w:w="103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2 </w:t>
            </w:r>
          </w:p>
        </w:tc>
        <w:tc>
          <w:tcPr>
            <w:tcW w:w="87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2</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€40 </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€40 </w:t>
            </w:r>
          </w:p>
        </w:tc>
        <w:tc>
          <w:tcPr>
            <w:tcW w:w="78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0</w:t>
            </w:r>
          </w:p>
        </w:tc>
        <w:tc>
          <w:tcPr>
            <w:tcW w:w="1133"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€0 </w:t>
            </w:r>
          </w:p>
        </w:tc>
      </w:tr>
      <w:tr w:rsidR="00850B0B" w:rsidRPr="00AE59EE" w:rsidTr="00A9622A">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850B0B" w:rsidRPr="00AE59EE" w:rsidRDefault="00850B0B" w:rsidP="00A9622A">
            <w:pPr>
              <w:spacing w:after="120"/>
              <w:rPr>
                <w:rFonts w:ascii="Times New Roman" w:eastAsia="Times New Roman" w:hAnsi="Times New Roman" w:cs="Times New Roman"/>
                <w:b/>
                <w:bCs/>
                <w:sz w:val="18"/>
                <w:szCs w:val="18"/>
                <w:lang w:eastAsia="it-IT"/>
              </w:rPr>
            </w:pPr>
            <w:r w:rsidRPr="00AE59EE">
              <w:rPr>
                <w:rFonts w:ascii="Times New Roman" w:eastAsia="Times New Roman" w:hAnsi="Times New Roman" w:cs="Times New Roman"/>
                <w:b/>
                <w:bCs/>
                <w:sz w:val="18"/>
                <w:szCs w:val="18"/>
                <w:lang w:eastAsia="it-IT"/>
              </w:rPr>
              <w:t>ODONTOSTOMATOLOGIA - CHIRURGIA</w:t>
            </w:r>
          </w:p>
        </w:tc>
        <w:tc>
          <w:tcPr>
            <w:tcW w:w="103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5 </w:t>
            </w:r>
          </w:p>
        </w:tc>
        <w:tc>
          <w:tcPr>
            <w:tcW w:w="87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21</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€96 </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€374 </w:t>
            </w:r>
          </w:p>
        </w:tc>
        <w:tc>
          <w:tcPr>
            <w:tcW w:w="78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16 </w:t>
            </w:r>
          </w:p>
        </w:tc>
        <w:tc>
          <w:tcPr>
            <w:tcW w:w="1133"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€278 </w:t>
            </w:r>
          </w:p>
        </w:tc>
      </w:tr>
      <w:tr w:rsidR="00850B0B" w:rsidRPr="00AE59EE" w:rsidTr="00A9622A">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850B0B" w:rsidRPr="00AE59EE" w:rsidRDefault="00850B0B" w:rsidP="00A9622A">
            <w:pPr>
              <w:spacing w:after="120"/>
              <w:rPr>
                <w:rFonts w:ascii="Times New Roman" w:eastAsia="Times New Roman" w:hAnsi="Times New Roman" w:cs="Times New Roman"/>
                <w:b/>
                <w:bCs/>
                <w:sz w:val="18"/>
                <w:szCs w:val="18"/>
                <w:lang w:eastAsia="it-IT"/>
              </w:rPr>
            </w:pPr>
            <w:r w:rsidRPr="00AE59EE">
              <w:rPr>
                <w:rFonts w:ascii="Times New Roman" w:eastAsia="Times New Roman" w:hAnsi="Times New Roman" w:cs="Times New Roman"/>
                <w:b/>
                <w:bCs/>
                <w:sz w:val="18"/>
                <w:szCs w:val="18"/>
                <w:lang w:eastAsia="it-IT"/>
              </w:rPr>
              <w:t>ONCOLOGIA</w:t>
            </w:r>
          </w:p>
        </w:tc>
        <w:tc>
          <w:tcPr>
            <w:tcW w:w="103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2.194 </w:t>
            </w:r>
          </w:p>
        </w:tc>
        <w:tc>
          <w:tcPr>
            <w:tcW w:w="87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2.338</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€546.577 </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€308.182 </w:t>
            </w:r>
          </w:p>
        </w:tc>
        <w:tc>
          <w:tcPr>
            <w:tcW w:w="78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144</w:t>
            </w:r>
          </w:p>
        </w:tc>
        <w:tc>
          <w:tcPr>
            <w:tcW w:w="1133"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FF0000"/>
                <w:sz w:val="18"/>
                <w:szCs w:val="18"/>
                <w:lang w:eastAsia="it-IT"/>
              </w:rPr>
            </w:pPr>
            <w:r w:rsidRPr="00AE59EE">
              <w:rPr>
                <w:rFonts w:ascii="Times New Roman" w:eastAsia="Times New Roman" w:hAnsi="Times New Roman" w:cs="Times New Roman"/>
                <w:color w:val="FF0000"/>
                <w:sz w:val="18"/>
                <w:szCs w:val="18"/>
                <w:lang w:eastAsia="it-IT"/>
              </w:rPr>
              <w:t>(€238.395)</w:t>
            </w:r>
          </w:p>
        </w:tc>
      </w:tr>
      <w:tr w:rsidR="00850B0B" w:rsidRPr="00AE59EE" w:rsidTr="00A9622A">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850B0B" w:rsidRPr="00AE59EE" w:rsidRDefault="00850B0B" w:rsidP="00A9622A">
            <w:pPr>
              <w:spacing w:after="120"/>
              <w:rPr>
                <w:rFonts w:ascii="Times New Roman" w:eastAsia="Times New Roman" w:hAnsi="Times New Roman" w:cs="Times New Roman"/>
                <w:b/>
                <w:bCs/>
                <w:sz w:val="18"/>
                <w:szCs w:val="18"/>
                <w:lang w:eastAsia="it-IT"/>
              </w:rPr>
            </w:pPr>
            <w:r w:rsidRPr="00AE59EE">
              <w:rPr>
                <w:rFonts w:ascii="Times New Roman" w:eastAsia="Times New Roman" w:hAnsi="Times New Roman" w:cs="Times New Roman"/>
                <w:b/>
                <w:bCs/>
                <w:sz w:val="18"/>
                <w:szCs w:val="18"/>
                <w:lang w:eastAsia="it-IT"/>
              </w:rPr>
              <w:t>ORTOPEDIA E TRAUMATOLOGIA</w:t>
            </w:r>
          </w:p>
        </w:tc>
        <w:tc>
          <w:tcPr>
            <w:tcW w:w="103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22 </w:t>
            </w:r>
          </w:p>
        </w:tc>
        <w:tc>
          <w:tcPr>
            <w:tcW w:w="87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13</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€606 </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€114 </w:t>
            </w:r>
          </w:p>
        </w:tc>
        <w:tc>
          <w:tcPr>
            <w:tcW w:w="78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FF0000"/>
                <w:sz w:val="18"/>
                <w:szCs w:val="18"/>
                <w:lang w:eastAsia="it-IT"/>
              </w:rPr>
            </w:pPr>
            <w:r w:rsidRPr="00AE59EE">
              <w:rPr>
                <w:rFonts w:ascii="Times New Roman" w:eastAsia="Times New Roman" w:hAnsi="Times New Roman" w:cs="Times New Roman"/>
                <w:color w:val="FF0000"/>
                <w:sz w:val="18"/>
                <w:szCs w:val="18"/>
                <w:lang w:eastAsia="it-IT"/>
              </w:rPr>
              <w:t>(9)</w:t>
            </w:r>
          </w:p>
        </w:tc>
        <w:tc>
          <w:tcPr>
            <w:tcW w:w="1133"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FF0000"/>
                <w:sz w:val="18"/>
                <w:szCs w:val="18"/>
                <w:lang w:eastAsia="it-IT"/>
              </w:rPr>
            </w:pPr>
            <w:r w:rsidRPr="00AE59EE">
              <w:rPr>
                <w:rFonts w:ascii="Times New Roman" w:eastAsia="Times New Roman" w:hAnsi="Times New Roman" w:cs="Times New Roman"/>
                <w:color w:val="FF0000"/>
                <w:sz w:val="18"/>
                <w:szCs w:val="18"/>
                <w:lang w:eastAsia="it-IT"/>
              </w:rPr>
              <w:t>(€492)</w:t>
            </w:r>
          </w:p>
        </w:tc>
      </w:tr>
      <w:tr w:rsidR="00850B0B" w:rsidRPr="00AE59EE" w:rsidTr="00A9622A">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850B0B" w:rsidRPr="00AE59EE" w:rsidRDefault="00850B0B" w:rsidP="00A9622A">
            <w:pPr>
              <w:spacing w:after="120"/>
              <w:rPr>
                <w:rFonts w:ascii="Times New Roman" w:eastAsia="Times New Roman" w:hAnsi="Times New Roman" w:cs="Times New Roman"/>
                <w:b/>
                <w:bCs/>
                <w:sz w:val="18"/>
                <w:szCs w:val="18"/>
                <w:lang w:eastAsia="it-IT"/>
              </w:rPr>
            </w:pPr>
            <w:r w:rsidRPr="00AE59EE">
              <w:rPr>
                <w:rFonts w:ascii="Times New Roman" w:eastAsia="Times New Roman" w:hAnsi="Times New Roman" w:cs="Times New Roman"/>
                <w:b/>
                <w:bCs/>
                <w:sz w:val="18"/>
                <w:szCs w:val="18"/>
                <w:lang w:eastAsia="it-IT"/>
              </w:rPr>
              <w:t>OSTETRICIA E GINECOLOGIA</w:t>
            </w:r>
          </w:p>
        </w:tc>
        <w:tc>
          <w:tcPr>
            <w:tcW w:w="103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2.270 </w:t>
            </w:r>
          </w:p>
        </w:tc>
        <w:tc>
          <w:tcPr>
            <w:tcW w:w="87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2.518</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€63.514 </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€68.205 </w:t>
            </w:r>
          </w:p>
        </w:tc>
        <w:tc>
          <w:tcPr>
            <w:tcW w:w="78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248</w:t>
            </w:r>
          </w:p>
        </w:tc>
        <w:tc>
          <w:tcPr>
            <w:tcW w:w="1133"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€4.691</w:t>
            </w:r>
          </w:p>
        </w:tc>
      </w:tr>
      <w:tr w:rsidR="00850B0B" w:rsidRPr="00AE59EE" w:rsidTr="00A9622A">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850B0B" w:rsidRPr="00AE59EE" w:rsidRDefault="00850B0B" w:rsidP="00A9622A">
            <w:pPr>
              <w:spacing w:after="120"/>
              <w:rPr>
                <w:rFonts w:ascii="Times New Roman" w:eastAsia="Times New Roman" w:hAnsi="Times New Roman" w:cs="Times New Roman"/>
                <w:b/>
                <w:bCs/>
                <w:sz w:val="18"/>
                <w:szCs w:val="18"/>
                <w:lang w:eastAsia="it-IT"/>
              </w:rPr>
            </w:pPr>
            <w:r w:rsidRPr="00AE59EE">
              <w:rPr>
                <w:rFonts w:ascii="Times New Roman" w:eastAsia="Times New Roman" w:hAnsi="Times New Roman" w:cs="Times New Roman"/>
                <w:b/>
                <w:bCs/>
                <w:sz w:val="18"/>
                <w:szCs w:val="18"/>
                <w:lang w:eastAsia="it-IT"/>
              </w:rPr>
              <w:t>OTORINOLARINGOIATRIA</w:t>
            </w:r>
          </w:p>
        </w:tc>
        <w:tc>
          <w:tcPr>
            <w:tcW w:w="103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477 </w:t>
            </w:r>
          </w:p>
        </w:tc>
        <w:tc>
          <w:tcPr>
            <w:tcW w:w="87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942</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€15.607 </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€30.963 </w:t>
            </w:r>
          </w:p>
        </w:tc>
        <w:tc>
          <w:tcPr>
            <w:tcW w:w="78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465 </w:t>
            </w:r>
          </w:p>
        </w:tc>
        <w:tc>
          <w:tcPr>
            <w:tcW w:w="1133"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€15.356 </w:t>
            </w:r>
          </w:p>
        </w:tc>
      </w:tr>
      <w:tr w:rsidR="00850B0B" w:rsidRPr="00AE59EE" w:rsidTr="00A9622A">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850B0B" w:rsidRPr="00AE59EE" w:rsidRDefault="00850B0B" w:rsidP="00A9622A">
            <w:pPr>
              <w:spacing w:after="120"/>
              <w:rPr>
                <w:rFonts w:ascii="Times New Roman" w:eastAsia="Times New Roman" w:hAnsi="Times New Roman" w:cs="Times New Roman"/>
                <w:b/>
                <w:bCs/>
                <w:sz w:val="18"/>
                <w:szCs w:val="18"/>
                <w:lang w:eastAsia="it-IT"/>
              </w:rPr>
            </w:pPr>
            <w:r w:rsidRPr="00AE59EE">
              <w:rPr>
                <w:rFonts w:ascii="Times New Roman" w:eastAsia="Times New Roman" w:hAnsi="Times New Roman" w:cs="Times New Roman"/>
                <w:b/>
                <w:bCs/>
                <w:sz w:val="18"/>
                <w:szCs w:val="18"/>
                <w:lang w:eastAsia="it-IT"/>
              </w:rPr>
              <w:t>PNEUMOLOGIA</w:t>
            </w:r>
          </w:p>
        </w:tc>
        <w:tc>
          <w:tcPr>
            <w:tcW w:w="103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2.599 </w:t>
            </w:r>
          </w:p>
        </w:tc>
        <w:tc>
          <w:tcPr>
            <w:tcW w:w="87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2.891</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€31.783 </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€36.378 </w:t>
            </w:r>
          </w:p>
        </w:tc>
        <w:tc>
          <w:tcPr>
            <w:tcW w:w="78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292</w:t>
            </w:r>
          </w:p>
        </w:tc>
        <w:tc>
          <w:tcPr>
            <w:tcW w:w="1133"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€4.595 </w:t>
            </w:r>
          </w:p>
        </w:tc>
      </w:tr>
      <w:tr w:rsidR="00850B0B" w:rsidRPr="00AE59EE" w:rsidTr="00A9622A">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850B0B" w:rsidRPr="00AE59EE" w:rsidRDefault="00850B0B" w:rsidP="00A9622A">
            <w:pPr>
              <w:spacing w:after="120"/>
              <w:rPr>
                <w:rFonts w:ascii="Times New Roman" w:eastAsia="Times New Roman" w:hAnsi="Times New Roman" w:cs="Times New Roman"/>
                <w:b/>
                <w:bCs/>
                <w:sz w:val="18"/>
                <w:szCs w:val="18"/>
                <w:lang w:eastAsia="it-IT"/>
              </w:rPr>
            </w:pPr>
            <w:r w:rsidRPr="00AE59EE">
              <w:rPr>
                <w:rFonts w:ascii="Times New Roman" w:eastAsia="Times New Roman" w:hAnsi="Times New Roman" w:cs="Times New Roman"/>
                <w:b/>
                <w:bCs/>
                <w:sz w:val="18"/>
                <w:szCs w:val="18"/>
                <w:lang w:eastAsia="it-IT"/>
              </w:rPr>
              <w:t>PSICHIATRIA</w:t>
            </w:r>
          </w:p>
        </w:tc>
        <w:tc>
          <w:tcPr>
            <w:tcW w:w="103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1.445 </w:t>
            </w:r>
          </w:p>
        </w:tc>
        <w:tc>
          <w:tcPr>
            <w:tcW w:w="87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1.268</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€35.587 </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€31.193 </w:t>
            </w:r>
          </w:p>
        </w:tc>
        <w:tc>
          <w:tcPr>
            <w:tcW w:w="78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FF0000"/>
                <w:sz w:val="18"/>
                <w:szCs w:val="18"/>
                <w:lang w:eastAsia="it-IT"/>
              </w:rPr>
            </w:pPr>
            <w:r w:rsidRPr="00AE59EE">
              <w:rPr>
                <w:rFonts w:ascii="Times New Roman" w:eastAsia="Times New Roman" w:hAnsi="Times New Roman" w:cs="Times New Roman"/>
                <w:color w:val="FF0000"/>
                <w:sz w:val="18"/>
                <w:szCs w:val="18"/>
                <w:lang w:eastAsia="it-IT"/>
              </w:rPr>
              <w:t xml:space="preserve">(177) </w:t>
            </w:r>
          </w:p>
        </w:tc>
        <w:tc>
          <w:tcPr>
            <w:tcW w:w="1133"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FF0000"/>
                <w:sz w:val="18"/>
                <w:szCs w:val="18"/>
                <w:lang w:eastAsia="it-IT"/>
              </w:rPr>
            </w:pPr>
            <w:r w:rsidRPr="00AE59EE">
              <w:rPr>
                <w:rFonts w:ascii="Times New Roman" w:eastAsia="Times New Roman" w:hAnsi="Times New Roman" w:cs="Times New Roman"/>
                <w:color w:val="FF0000"/>
                <w:sz w:val="18"/>
                <w:szCs w:val="18"/>
                <w:lang w:eastAsia="it-IT"/>
              </w:rPr>
              <w:t xml:space="preserve">(€4.394) </w:t>
            </w:r>
          </w:p>
        </w:tc>
      </w:tr>
      <w:tr w:rsidR="00850B0B" w:rsidRPr="00AE59EE" w:rsidTr="00A9622A">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850B0B" w:rsidRPr="00AE59EE" w:rsidRDefault="00850B0B" w:rsidP="00A9622A">
            <w:pPr>
              <w:spacing w:after="120"/>
              <w:rPr>
                <w:rFonts w:ascii="Times New Roman" w:eastAsia="Times New Roman" w:hAnsi="Times New Roman" w:cs="Times New Roman"/>
                <w:b/>
                <w:bCs/>
                <w:sz w:val="18"/>
                <w:szCs w:val="18"/>
                <w:lang w:eastAsia="it-IT"/>
              </w:rPr>
            </w:pPr>
            <w:r w:rsidRPr="00AE59EE">
              <w:rPr>
                <w:rFonts w:ascii="Times New Roman" w:eastAsia="Times New Roman" w:hAnsi="Times New Roman" w:cs="Times New Roman"/>
                <w:b/>
                <w:bCs/>
                <w:sz w:val="18"/>
                <w:szCs w:val="18"/>
                <w:lang w:eastAsia="it-IT"/>
              </w:rPr>
              <w:t>RADIOTERAPIA</w:t>
            </w:r>
          </w:p>
        </w:tc>
        <w:tc>
          <w:tcPr>
            <w:tcW w:w="103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52.981 </w:t>
            </w:r>
          </w:p>
        </w:tc>
        <w:tc>
          <w:tcPr>
            <w:tcW w:w="87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57.227</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€7.945.030 </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€8.865.979 </w:t>
            </w:r>
          </w:p>
        </w:tc>
        <w:tc>
          <w:tcPr>
            <w:tcW w:w="78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4.246</w:t>
            </w:r>
          </w:p>
        </w:tc>
        <w:tc>
          <w:tcPr>
            <w:tcW w:w="1133"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€920.949</w:t>
            </w:r>
          </w:p>
        </w:tc>
      </w:tr>
      <w:tr w:rsidR="00850B0B" w:rsidRPr="00AE59EE" w:rsidTr="00A9622A">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850B0B" w:rsidRPr="00AE59EE" w:rsidRDefault="00850B0B" w:rsidP="00A9622A">
            <w:pPr>
              <w:spacing w:after="120"/>
              <w:rPr>
                <w:rFonts w:ascii="Times New Roman" w:eastAsia="Times New Roman" w:hAnsi="Times New Roman" w:cs="Times New Roman"/>
                <w:b/>
                <w:bCs/>
                <w:sz w:val="18"/>
                <w:szCs w:val="18"/>
                <w:lang w:eastAsia="it-IT"/>
              </w:rPr>
            </w:pPr>
            <w:r w:rsidRPr="00AE59EE">
              <w:rPr>
                <w:rFonts w:ascii="Times New Roman" w:eastAsia="Times New Roman" w:hAnsi="Times New Roman" w:cs="Times New Roman"/>
                <w:b/>
                <w:bCs/>
                <w:sz w:val="18"/>
                <w:szCs w:val="18"/>
                <w:lang w:eastAsia="it-IT"/>
              </w:rPr>
              <w:t>UROLOGIA</w:t>
            </w:r>
          </w:p>
        </w:tc>
        <w:tc>
          <w:tcPr>
            <w:tcW w:w="103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135 </w:t>
            </w:r>
          </w:p>
        </w:tc>
        <w:tc>
          <w:tcPr>
            <w:tcW w:w="87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106</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€7.673 </w:t>
            </w:r>
          </w:p>
        </w:tc>
        <w:tc>
          <w:tcPr>
            <w:tcW w:w="110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000000"/>
                <w:sz w:val="18"/>
                <w:szCs w:val="18"/>
                <w:lang w:eastAsia="it-IT"/>
              </w:rPr>
            </w:pPr>
            <w:r w:rsidRPr="00AE59EE">
              <w:rPr>
                <w:rFonts w:ascii="Times New Roman" w:eastAsia="Times New Roman" w:hAnsi="Times New Roman" w:cs="Times New Roman"/>
                <w:color w:val="000000"/>
                <w:sz w:val="18"/>
                <w:szCs w:val="18"/>
                <w:lang w:eastAsia="it-IT"/>
              </w:rPr>
              <w:t xml:space="preserve">€5.935 </w:t>
            </w:r>
          </w:p>
        </w:tc>
        <w:tc>
          <w:tcPr>
            <w:tcW w:w="781"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FF0000"/>
                <w:sz w:val="18"/>
                <w:szCs w:val="18"/>
                <w:lang w:eastAsia="it-IT"/>
              </w:rPr>
            </w:pPr>
            <w:r w:rsidRPr="00AE59EE">
              <w:rPr>
                <w:rFonts w:ascii="Times New Roman" w:eastAsia="Times New Roman" w:hAnsi="Times New Roman" w:cs="Times New Roman"/>
                <w:color w:val="FF0000"/>
                <w:sz w:val="18"/>
                <w:szCs w:val="18"/>
                <w:lang w:eastAsia="it-IT"/>
              </w:rPr>
              <w:t>(29)</w:t>
            </w:r>
          </w:p>
        </w:tc>
        <w:tc>
          <w:tcPr>
            <w:tcW w:w="1133" w:type="dxa"/>
            <w:tcBorders>
              <w:top w:val="nil"/>
              <w:left w:val="nil"/>
              <w:bottom w:val="single" w:sz="4" w:space="0" w:color="auto"/>
              <w:right w:val="single" w:sz="4" w:space="0" w:color="auto"/>
            </w:tcBorders>
            <w:shd w:val="clear" w:color="FFFFFF" w:fill="FFFFFF"/>
            <w:noWrap/>
            <w:vAlign w:val="bottom"/>
            <w:hideMark/>
          </w:tcPr>
          <w:p w:rsidR="00850B0B" w:rsidRPr="00AE59EE" w:rsidRDefault="00850B0B" w:rsidP="00A9622A">
            <w:pPr>
              <w:spacing w:after="120"/>
              <w:jc w:val="right"/>
              <w:rPr>
                <w:rFonts w:ascii="Times New Roman" w:eastAsia="Times New Roman" w:hAnsi="Times New Roman" w:cs="Times New Roman"/>
                <w:color w:val="FF0000"/>
                <w:sz w:val="18"/>
                <w:szCs w:val="18"/>
                <w:lang w:eastAsia="it-IT"/>
              </w:rPr>
            </w:pPr>
            <w:r w:rsidRPr="00AE59EE">
              <w:rPr>
                <w:rFonts w:ascii="Times New Roman" w:eastAsia="Times New Roman" w:hAnsi="Times New Roman" w:cs="Times New Roman"/>
                <w:color w:val="FF0000"/>
                <w:sz w:val="18"/>
                <w:szCs w:val="18"/>
                <w:lang w:eastAsia="it-IT"/>
              </w:rPr>
              <w:t>(€1.738)</w:t>
            </w:r>
          </w:p>
        </w:tc>
      </w:tr>
      <w:tr w:rsidR="00850B0B" w:rsidRPr="00AE59EE" w:rsidTr="00A9622A">
        <w:trPr>
          <w:trHeight w:val="288"/>
        </w:trPr>
        <w:tc>
          <w:tcPr>
            <w:tcW w:w="376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850B0B" w:rsidRPr="00AE59EE" w:rsidRDefault="00850B0B" w:rsidP="00A9622A">
            <w:pPr>
              <w:spacing w:after="120"/>
              <w:rPr>
                <w:rFonts w:ascii="Times New Roman" w:eastAsia="Times New Roman" w:hAnsi="Times New Roman" w:cs="Times New Roman"/>
                <w:b/>
                <w:sz w:val="18"/>
                <w:szCs w:val="18"/>
                <w:lang w:eastAsia="it-IT"/>
              </w:rPr>
            </w:pPr>
            <w:r w:rsidRPr="00AE59EE">
              <w:rPr>
                <w:rFonts w:ascii="Times New Roman" w:eastAsia="Times New Roman" w:hAnsi="Times New Roman" w:cs="Times New Roman"/>
                <w:b/>
                <w:sz w:val="18"/>
                <w:szCs w:val="18"/>
                <w:lang w:eastAsia="it-IT"/>
              </w:rPr>
              <w:t>TOTALE</w:t>
            </w:r>
          </w:p>
        </w:tc>
        <w:tc>
          <w:tcPr>
            <w:tcW w:w="1031"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850B0B" w:rsidRPr="00AE59EE" w:rsidRDefault="00850B0B" w:rsidP="00A9622A">
            <w:pPr>
              <w:spacing w:after="120"/>
              <w:jc w:val="right"/>
              <w:rPr>
                <w:rFonts w:ascii="Times New Roman" w:eastAsia="Times New Roman" w:hAnsi="Times New Roman" w:cs="Times New Roman"/>
                <w:b/>
                <w:color w:val="000000"/>
                <w:sz w:val="18"/>
                <w:szCs w:val="18"/>
                <w:lang w:eastAsia="it-IT"/>
              </w:rPr>
            </w:pPr>
            <w:r w:rsidRPr="00AE59EE">
              <w:rPr>
                <w:rFonts w:ascii="Times New Roman" w:eastAsia="Times New Roman" w:hAnsi="Times New Roman" w:cs="Times New Roman"/>
                <w:b/>
                <w:color w:val="000000"/>
                <w:sz w:val="18"/>
                <w:szCs w:val="18"/>
                <w:lang w:eastAsia="it-IT"/>
              </w:rPr>
              <w:t xml:space="preserve">387.334 </w:t>
            </w:r>
          </w:p>
        </w:tc>
        <w:tc>
          <w:tcPr>
            <w:tcW w:w="871"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850B0B" w:rsidRPr="00AE59EE" w:rsidRDefault="00850B0B" w:rsidP="00A9622A">
            <w:pPr>
              <w:spacing w:after="120"/>
              <w:jc w:val="right"/>
              <w:rPr>
                <w:rFonts w:ascii="Times New Roman" w:eastAsia="Times New Roman" w:hAnsi="Times New Roman" w:cs="Times New Roman"/>
                <w:b/>
                <w:color w:val="000000"/>
                <w:sz w:val="18"/>
                <w:szCs w:val="18"/>
                <w:lang w:eastAsia="it-IT"/>
              </w:rPr>
            </w:pPr>
            <w:r w:rsidRPr="00AE59EE">
              <w:rPr>
                <w:rFonts w:ascii="Times New Roman" w:eastAsia="Times New Roman" w:hAnsi="Times New Roman" w:cs="Times New Roman"/>
                <w:b/>
                <w:color w:val="000000"/>
                <w:sz w:val="18"/>
                <w:szCs w:val="18"/>
                <w:lang w:eastAsia="it-IT"/>
              </w:rPr>
              <w:t>418.453</w:t>
            </w:r>
          </w:p>
        </w:tc>
        <w:tc>
          <w:tcPr>
            <w:tcW w:w="1101"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850B0B" w:rsidRPr="00AE59EE" w:rsidRDefault="00850B0B" w:rsidP="00A9622A">
            <w:pPr>
              <w:spacing w:after="120"/>
              <w:jc w:val="right"/>
              <w:rPr>
                <w:rFonts w:ascii="Times New Roman" w:eastAsia="Times New Roman" w:hAnsi="Times New Roman" w:cs="Times New Roman"/>
                <w:b/>
                <w:color w:val="000000"/>
                <w:sz w:val="18"/>
                <w:szCs w:val="18"/>
                <w:lang w:eastAsia="it-IT"/>
              </w:rPr>
            </w:pPr>
            <w:r w:rsidRPr="00AE59EE">
              <w:rPr>
                <w:rFonts w:ascii="Times New Roman" w:eastAsia="Times New Roman" w:hAnsi="Times New Roman" w:cs="Times New Roman"/>
                <w:b/>
                <w:color w:val="000000"/>
                <w:sz w:val="18"/>
                <w:szCs w:val="18"/>
                <w:lang w:eastAsia="it-IT"/>
              </w:rPr>
              <w:t xml:space="preserve">€19.658.997 </w:t>
            </w:r>
          </w:p>
        </w:tc>
        <w:tc>
          <w:tcPr>
            <w:tcW w:w="1101"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850B0B" w:rsidRPr="00AE59EE" w:rsidRDefault="00850B0B" w:rsidP="00A9622A">
            <w:pPr>
              <w:spacing w:after="120"/>
              <w:jc w:val="right"/>
              <w:rPr>
                <w:rFonts w:ascii="Times New Roman" w:eastAsia="Times New Roman" w:hAnsi="Times New Roman" w:cs="Times New Roman"/>
                <w:b/>
                <w:color w:val="000000"/>
                <w:sz w:val="18"/>
                <w:szCs w:val="18"/>
                <w:lang w:eastAsia="it-IT"/>
              </w:rPr>
            </w:pPr>
            <w:r w:rsidRPr="00AE59EE">
              <w:rPr>
                <w:rFonts w:ascii="Times New Roman" w:eastAsia="Times New Roman" w:hAnsi="Times New Roman" w:cs="Times New Roman"/>
                <w:b/>
                <w:color w:val="000000"/>
                <w:sz w:val="18"/>
                <w:szCs w:val="18"/>
                <w:lang w:eastAsia="it-IT"/>
              </w:rPr>
              <w:t xml:space="preserve">€20.951.454 </w:t>
            </w:r>
          </w:p>
        </w:tc>
        <w:tc>
          <w:tcPr>
            <w:tcW w:w="781" w:type="dxa"/>
            <w:tcBorders>
              <w:top w:val="nil"/>
              <w:left w:val="nil"/>
              <w:bottom w:val="single" w:sz="4" w:space="0" w:color="auto"/>
              <w:right w:val="single" w:sz="4" w:space="0" w:color="auto"/>
            </w:tcBorders>
            <w:shd w:val="clear" w:color="FFFFFF" w:fill="FFFFFF"/>
            <w:noWrap/>
            <w:vAlign w:val="center"/>
            <w:hideMark/>
          </w:tcPr>
          <w:p w:rsidR="00850B0B" w:rsidRPr="00AE59EE" w:rsidRDefault="00850B0B" w:rsidP="00A9622A">
            <w:pPr>
              <w:spacing w:after="120"/>
              <w:jc w:val="right"/>
              <w:rPr>
                <w:rFonts w:ascii="Times New Roman" w:eastAsia="Times New Roman" w:hAnsi="Times New Roman" w:cs="Times New Roman"/>
                <w:b/>
                <w:color w:val="000000"/>
                <w:sz w:val="18"/>
                <w:szCs w:val="18"/>
                <w:lang w:eastAsia="it-IT"/>
              </w:rPr>
            </w:pPr>
            <w:r w:rsidRPr="00AE59EE">
              <w:rPr>
                <w:rFonts w:ascii="Times New Roman" w:eastAsia="Times New Roman" w:hAnsi="Times New Roman" w:cs="Times New Roman"/>
                <w:b/>
                <w:color w:val="000000"/>
                <w:sz w:val="18"/>
                <w:szCs w:val="18"/>
                <w:lang w:eastAsia="it-IT"/>
              </w:rPr>
              <w:t xml:space="preserve">31.119 </w:t>
            </w:r>
          </w:p>
        </w:tc>
        <w:tc>
          <w:tcPr>
            <w:tcW w:w="1133" w:type="dxa"/>
            <w:tcBorders>
              <w:top w:val="nil"/>
              <w:left w:val="nil"/>
              <w:bottom w:val="single" w:sz="4" w:space="0" w:color="auto"/>
              <w:right w:val="single" w:sz="4" w:space="0" w:color="auto"/>
            </w:tcBorders>
            <w:shd w:val="clear" w:color="FFFFFF" w:fill="FFFFFF"/>
            <w:noWrap/>
            <w:vAlign w:val="center"/>
            <w:hideMark/>
          </w:tcPr>
          <w:p w:rsidR="00850B0B" w:rsidRPr="00AE59EE" w:rsidRDefault="00850B0B" w:rsidP="00A9622A">
            <w:pPr>
              <w:spacing w:after="120"/>
              <w:jc w:val="right"/>
              <w:rPr>
                <w:rFonts w:ascii="Times New Roman" w:eastAsia="Times New Roman" w:hAnsi="Times New Roman" w:cs="Times New Roman"/>
                <w:b/>
                <w:color w:val="000000"/>
                <w:sz w:val="18"/>
                <w:szCs w:val="18"/>
                <w:lang w:eastAsia="it-IT"/>
              </w:rPr>
            </w:pPr>
            <w:r w:rsidRPr="00AE59EE">
              <w:rPr>
                <w:rFonts w:ascii="Times New Roman" w:eastAsia="Times New Roman" w:hAnsi="Times New Roman" w:cs="Times New Roman"/>
                <w:b/>
                <w:color w:val="000000"/>
                <w:sz w:val="18"/>
                <w:szCs w:val="18"/>
                <w:lang w:eastAsia="it-IT"/>
              </w:rPr>
              <w:t>€1.292.457</w:t>
            </w:r>
          </w:p>
        </w:tc>
      </w:tr>
    </w:tbl>
    <w:p w:rsidR="00A9622A" w:rsidRDefault="00A9622A" w:rsidP="00850B0B">
      <w:pPr>
        <w:rPr>
          <w:rFonts w:ascii="Times New Roman" w:hAnsi="Times New Roman" w:cs="Times New Roman"/>
          <w:sz w:val="24"/>
          <w:szCs w:val="24"/>
        </w:rPr>
      </w:pPr>
    </w:p>
    <w:p w:rsidR="00A9622A" w:rsidRDefault="00A9622A">
      <w:pPr>
        <w:rPr>
          <w:rFonts w:ascii="Times New Roman" w:hAnsi="Times New Roman" w:cs="Times New Roman"/>
          <w:sz w:val="24"/>
          <w:szCs w:val="24"/>
        </w:rPr>
      </w:pPr>
      <w:r>
        <w:rPr>
          <w:rFonts w:ascii="Times New Roman" w:hAnsi="Times New Roman" w:cs="Times New Roman"/>
          <w:sz w:val="24"/>
          <w:szCs w:val="24"/>
        </w:rPr>
        <w:br w:type="page"/>
      </w:r>
    </w:p>
    <w:p w:rsidR="0062493F" w:rsidRPr="008249A1" w:rsidRDefault="00D9662C" w:rsidP="00F34174">
      <w:pPr>
        <w:autoSpaceDE w:val="0"/>
        <w:autoSpaceDN w:val="0"/>
        <w:adjustRightInd w:val="0"/>
        <w:spacing w:after="0" w:line="240" w:lineRule="auto"/>
        <w:rPr>
          <w:rFonts w:cs="Times New Roman"/>
          <w:b/>
        </w:rPr>
      </w:pPr>
      <w:r w:rsidRPr="008249A1">
        <w:rPr>
          <w:rFonts w:cs="Times New Roman"/>
          <w:b/>
        </w:rPr>
        <w:lastRenderedPageBreak/>
        <w:t>5</w:t>
      </w:r>
      <w:r w:rsidR="0062493F" w:rsidRPr="008249A1">
        <w:rPr>
          <w:rFonts w:cs="Times New Roman"/>
          <w:b/>
        </w:rPr>
        <w:t>. Attività scientifica</w:t>
      </w:r>
    </w:p>
    <w:tbl>
      <w:tblPr>
        <w:tblW w:w="8183" w:type="dxa"/>
        <w:jc w:val="center"/>
        <w:tblInd w:w="-373" w:type="dxa"/>
        <w:tblCellMar>
          <w:left w:w="70" w:type="dxa"/>
          <w:right w:w="70" w:type="dxa"/>
        </w:tblCellMar>
        <w:tblLook w:val="04A0"/>
      </w:tblPr>
      <w:tblGrid>
        <w:gridCol w:w="5573"/>
        <w:gridCol w:w="1260"/>
        <w:gridCol w:w="1350"/>
      </w:tblGrid>
      <w:tr w:rsidR="00F9436F" w:rsidRPr="00850B0B" w:rsidTr="00A143DB">
        <w:trPr>
          <w:trHeight w:val="345"/>
          <w:jc w:val="center"/>
        </w:trPr>
        <w:tc>
          <w:tcPr>
            <w:tcW w:w="557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C6D9F1" w:themeFill="text2" w:themeFillTint="33"/>
            <w:vAlign w:val="center"/>
            <w:hideMark/>
          </w:tcPr>
          <w:p w:rsidR="00F9436F" w:rsidRPr="008249A1" w:rsidRDefault="00F9436F" w:rsidP="005029FF">
            <w:pPr>
              <w:jc w:val="center"/>
              <w:rPr>
                <w:rFonts w:eastAsia="Times New Roman" w:cs="Times New Roman"/>
                <w:b/>
                <w:bCs/>
                <w:lang w:eastAsia="it-IT"/>
              </w:rPr>
            </w:pPr>
            <w:r w:rsidRPr="008249A1">
              <w:rPr>
                <w:rFonts w:eastAsia="Times New Roman" w:cs="Times New Roman"/>
                <w:b/>
                <w:bCs/>
                <w:lang w:eastAsia="it-IT"/>
              </w:rPr>
              <w:t>Attività di ricerca</w:t>
            </w: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C6D9F1" w:themeFill="text2" w:themeFillTint="33"/>
            <w:vAlign w:val="center"/>
            <w:hideMark/>
          </w:tcPr>
          <w:p w:rsidR="00F9436F" w:rsidRPr="008249A1" w:rsidRDefault="00F9436F" w:rsidP="008249A1">
            <w:pPr>
              <w:jc w:val="center"/>
              <w:rPr>
                <w:rFonts w:eastAsia="Times New Roman" w:cs="Times New Roman"/>
                <w:b/>
                <w:bCs/>
                <w:lang w:eastAsia="it-IT"/>
              </w:rPr>
            </w:pPr>
            <w:r w:rsidRPr="008249A1">
              <w:rPr>
                <w:rFonts w:eastAsia="Times New Roman" w:cs="Times New Roman"/>
                <w:b/>
                <w:bCs/>
                <w:lang w:eastAsia="it-IT"/>
              </w:rPr>
              <w:t>Anno 201</w:t>
            </w:r>
            <w:r w:rsidR="008249A1" w:rsidRPr="008249A1">
              <w:rPr>
                <w:rFonts w:eastAsia="Times New Roman" w:cs="Times New Roman"/>
                <w:b/>
                <w:bCs/>
                <w:lang w:eastAsia="it-IT"/>
              </w:rPr>
              <w:t>4</w:t>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C6D9F1" w:themeFill="text2" w:themeFillTint="33"/>
            <w:vAlign w:val="center"/>
            <w:hideMark/>
          </w:tcPr>
          <w:p w:rsidR="00F9436F" w:rsidRPr="008249A1" w:rsidRDefault="00F9436F" w:rsidP="008249A1">
            <w:pPr>
              <w:jc w:val="center"/>
              <w:rPr>
                <w:rFonts w:eastAsia="Times New Roman" w:cs="Times New Roman"/>
                <w:b/>
                <w:bCs/>
                <w:lang w:eastAsia="it-IT"/>
              </w:rPr>
            </w:pPr>
            <w:r w:rsidRPr="008249A1">
              <w:rPr>
                <w:rFonts w:eastAsia="Times New Roman" w:cs="Times New Roman"/>
                <w:b/>
                <w:bCs/>
                <w:lang w:eastAsia="it-IT"/>
              </w:rPr>
              <w:t>Anno 201</w:t>
            </w:r>
            <w:r w:rsidR="008249A1" w:rsidRPr="008249A1">
              <w:rPr>
                <w:rFonts w:eastAsia="Times New Roman" w:cs="Times New Roman"/>
                <w:b/>
                <w:bCs/>
                <w:lang w:eastAsia="it-IT"/>
              </w:rPr>
              <w:t>5</w:t>
            </w:r>
          </w:p>
        </w:tc>
      </w:tr>
      <w:tr w:rsidR="00B41413" w:rsidRPr="00850B0B" w:rsidTr="00A143DB">
        <w:trPr>
          <w:trHeight w:val="300"/>
          <w:jc w:val="center"/>
        </w:trPr>
        <w:tc>
          <w:tcPr>
            <w:tcW w:w="557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B41413" w:rsidRPr="00C46845" w:rsidRDefault="00B41413" w:rsidP="00890F1E">
            <w:pPr>
              <w:spacing w:after="0" w:line="240" w:lineRule="auto"/>
              <w:rPr>
                <w:rFonts w:eastAsia="Times New Roman" w:cs="Arial"/>
                <w:lang w:eastAsia="it-IT"/>
              </w:rPr>
            </w:pPr>
            <w:r w:rsidRPr="00C46845">
              <w:rPr>
                <w:rFonts w:eastAsia="Times New Roman" w:cs="Arial"/>
                <w:lang w:eastAsia="it-IT"/>
              </w:rPr>
              <w:t>Numero pubblicazion</w:t>
            </w:r>
            <w:r w:rsidR="00890F1E" w:rsidRPr="00C46845">
              <w:rPr>
                <w:rFonts w:eastAsia="Times New Roman" w:cs="Arial"/>
                <w:lang w:eastAsia="it-IT"/>
              </w:rPr>
              <w:t>i</w:t>
            </w: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B41413" w:rsidRPr="00C46845" w:rsidRDefault="005F7638" w:rsidP="00C46845">
            <w:pPr>
              <w:spacing w:after="0" w:line="240" w:lineRule="auto"/>
              <w:jc w:val="right"/>
              <w:rPr>
                <w:rFonts w:eastAsia="Times New Roman" w:cs="Arial"/>
                <w:lang w:eastAsia="it-IT"/>
              </w:rPr>
            </w:pPr>
            <w:r w:rsidRPr="00C46845">
              <w:rPr>
                <w:rFonts w:eastAsia="Times New Roman" w:cs="Arial"/>
                <w:lang w:eastAsia="it-IT"/>
              </w:rPr>
              <w:t>2</w:t>
            </w:r>
            <w:r w:rsidR="00C46845" w:rsidRPr="00C46845">
              <w:rPr>
                <w:rFonts w:eastAsia="Times New Roman" w:cs="Arial"/>
                <w:lang w:eastAsia="it-IT"/>
              </w:rPr>
              <w:t>27</w:t>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B41413" w:rsidRPr="00C46845" w:rsidRDefault="008A4A24" w:rsidP="00EF0BC2">
            <w:pPr>
              <w:spacing w:after="0" w:line="240" w:lineRule="auto"/>
              <w:jc w:val="right"/>
              <w:rPr>
                <w:rFonts w:eastAsia="Times New Roman" w:cs="Arial"/>
                <w:lang w:eastAsia="it-IT"/>
              </w:rPr>
            </w:pPr>
            <w:r w:rsidRPr="00C46845">
              <w:rPr>
                <w:rFonts w:eastAsia="Times New Roman" w:cs="Arial"/>
                <w:lang w:eastAsia="it-IT"/>
              </w:rPr>
              <w:t>227</w:t>
            </w:r>
          </w:p>
        </w:tc>
      </w:tr>
      <w:tr w:rsidR="00B41413" w:rsidRPr="006A2930" w:rsidTr="00A143DB">
        <w:trPr>
          <w:trHeight w:val="328"/>
          <w:jc w:val="center"/>
        </w:trPr>
        <w:tc>
          <w:tcPr>
            <w:tcW w:w="557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B41413" w:rsidRPr="00C46845" w:rsidRDefault="00B41413" w:rsidP="00405BF3">
            <w:pPr>
              <w:spacing w:after="0" w:line="240" w:lineRule="auto"/>
              <w:rPr>
                <w:rFonts w:eastAsia="Times New Roman" w:cs="Arial"/>
                <w:lang w:eastAsia="it-IT"/>
              </w:rPr>
            </w:pPr>
            <w:r w:rsidRPr="00C46845">
              <w:rPr>
                <w:rFonts w:eastAsia="Times New Roman" w:cs="Arial"/>
                <w:lang w:eastAsia="it-IT"/>
              </w:rPr>
              <w:t xml:space="preserve">Impact </w:t>
            </w:r>
            <w:proofErr w:type="spellStart"/>
            <w:r w:rsidRPr="00C46845">
              <w:rPr>
                <w:rFonts w:eastAsia="Times New Roman" w:cs="Arial"/>
                <w:lang w:eastAsia="it-IT"/>
              </w:rPr>
              <w:t>factor</w:t>
            </w:r>
            <w:proofErr w:type="spellEnd"/>
            <w:r w:rsidRPr="00C46845">
              <w:rPr>
                <w:rFonts w:eastAsia="Times New Roman" w:cs="Arial"/>
                <w:lang w:eastAsia="it-IT"/>
              </w:rPr>
              <w:t xml:space="preserve"> </w:t>
            </w:r>
            <w:r w:rsidR="00C46845">
              <w:rPr>
                <w:rFonts w:eastAsia="Times New Roman" w:cs="Arial"/>
                <w:lang w:eastAsia="it-IT"/>
              </w:rPr>
              <w:t xml:space="preserve"> normalizzato</w:t>
            </w: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B41413" w:rsidRPr="00C46845" w:rsidRDefault="00C46845" w:rsidP="00844122">
            <w:pPr>
              <w:spacing w:after="0" w:line="240" w:lineRule="auto"/>
              <w:jc w:val="right"/>
              <w:rPr>
                <w:rFonts w:eastAsia="Times New Roman" w:cs="Arial"/>
                <w:lang w:eastAsia="it-IT"/>
              </w:rPr>
            </w:pPr>
            <w:r w:rsidRPr="00C46845">
              <w:rPr>
                <w:rFonts w:eastAsia="Times New Roman" w:cs="Arial"/>
                <w:lang w:eastAsia="it-IT"/>
              </w:rPr>
              <w:t>964,9</w:t>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B41413" w:rsidRPr="00C46845" w:rsidRDefault="00C46845" w:rsidP="004467AE">
            <w:pPr>
              <w:spacing w:after="0" w:line="240" w:lineRule="auto"/>
              <w:jc w:val="right"/>
              <w:rPr>
                <w:rFonts w:eastAsia="Times New Roman" w:cs="Arial"/>
                <w:lang w:eastAsia="it-IT"/>
              </w:rPr>
            </w:pPr>
            <w:r>
              <w:rPr>
                <w:rFonts w:eastAsia="Times New Roman" w:cs="Arial"/>
                <w:lang w:eastAsia="it-IT"/>
              </w:rPr>
              <w:t>1.048,8</w:t>
            </w:r>
          </w:p>
        </w:tc>
      </w:tr>
    </w:tbl>
    <w:p w:rsidR="003809FD" w:rsidRPr="00A81BB4" w:rsidRDefault="003809FD" w:rsidP="00F34174">
      <w:pPr>
        <w:spacing w:after="0" w:line="240" w:lineRule="auto"/>
        <w:jc w:val="both"/>
        <w:rPr>
          <w:rFonts w:ascii="Calibri" w:hAnsi="Calibri"/>
          <w:b/>
          <w:sz w:val="24"/>
          <w:szCs w:val="24"/>
        </w:rPr>
      </w:pPr>
    </w:p>
    <w:p w:rsidR="0062493F" w:rsidRPr="00AD0C04" w:rsidRDefault="00D9662C" w:rsidP="00F34174">
      <w:pPr>
        <w:autoSpaceDE w:val="0"/>
        <w:autoSpaceDN w:val="0"/>
        <w:adjustRightInd w:val="0"/>
        <w:spacing w:after="0" w:line="240" w:lineRule="auto"/>
        <w:rPr>
          <w:rFonts w:cs="Times New Roman"/>
          <w:b/>
          <w:color w:val="FF0000"/>
        </w:rPr>
      </w:pPr>
      <w:r w:rsidRPr="00AD0C04">
        <w:rPr>
          <w:rFonts w:cs="Times New Roman"/>
          <w:b/>
        </w:rPr>
        <w:t>6</w:t>
      </w:r>
      <w:r w:rsidR="0062493F" w:rsidRPr="00AD0C04">
        <w:rPr>
          <w:rFonts w:cs="Times New Roman"/>
          <w:b/>
        </w:rPr>
        <w:t>. Personale strutturato</w:t>
      </w:r>
      <w:r w:rsidR="00850B0B" w:rsidRPr="00AD0C04">
        <w:rPr>
          <w:rFonts w:cs="Times New Roman"/>
          <w:b/>
        </w:rPr>
        <w:t xml:space="preserve"> </w:t>
      </w:r>
    </w:p>
    <w:tbl>
      <w:tblPr>
        <w:tblW w:w="8183" w:type="dxa"/>
        <w:jc w:val="center"/>
        <w:tblInd w:w="-373" w:type="dxa"/>
        <w:tblCellMar>
          <w:left w:w="70" w:type="dxa"/>
          <w:right w:w="70" w:type="dxa"/>
        </w:tblCellMar>
        <w:tblLook w:val="04A0"/>
      </w:tblPr>
      <w:tblGrid>
        <w:gridCol w:w="5573"/>
        <w:gridCol w:w="1260"/>
        <w:gridCol w:w="1350"/>
      </w:tblGrid>
      <w:tr w:rsidR="00F9436F" w:rsidRPr="00850B0B" w:rsidTr="00A143DB">
        <w:trPr>
          <w:trHeight w:val="345"/>
          <w:jc w:val="center"/>
        </w:trPr>
        <w:tc>
          <w:tcPr>
            <w:tcW w:w="557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C6D9F1" w:themeFill="text2" w:themeFillTint="33"/>
            <w:vAlign w:val="center"/>
            <w:hideMark/>
          </w:tcPr>
          <w:p w:rsidR="00F9436F" w:rsidRPr="00850B0B" w:rsidRDefault="00F9436F" w:rsidP="001873BE">
            <w:pPr>
              <w:jc w:val="center"/>
              <w:rPr>
                <w:rFonts w:eastAsia="Times New Roman" w:cs="Times New Roman"/>
                <w:b/>
                <w:bCs/>
                <w:highlight w:val="yellow"/>
                <w:lang w:eastAsia="it-IT"/>
              </w:rPr>
            </w:pPr>
            <w:r w:rsidRPr="00AD0C04">
              <w:rPr>
                <w:rFonts w:eastAsia="Times New Roman" w:cs="Times New Roman"/>
                <w:b/>
                <w:bCs/>
                <w:lang w:eastAsia="it-IT"/>
              </w:rPr>
              <w:t>Forza Lavoro al 31 dicembre</w:t>
            </w: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C6D9F1" w:themeFill="text2" w:themeFillTint="33"/>
            <w:vAlign w:val="center"/>
            <w:hideMark/>
          </w:tcPr>
          <w:p w:rsidR="00F9436F" w:rsidRPr="008249A1" w:rsidRDefault="00F9436F" w:rsidP="008249A1">
            <w:pPr>
              <w:jc w:val="center"/>
              <w:rPr>
                <w:rFonts w:eastAsia="Times New Roman" w:cs="Times New Roman"/>
                <w:b/>
                <w:bCs/>
                <w:lang w:eastAsia="it-IT"/>
              </w:rPr>
            </w:pPr>
            <w:r w:rsidRPr="008249A1">
              <w:rPr>
                <w:rFonts w:eastAsia="Times New Roman" w:cs="Times New Roman"/>
                <w:b/>
                <w:bCs/>
                <w:lang w:eastAsia="it-IT"/>
              </w:rPr>
              <w:t>Anno 201</w:t>
            </w:r>
            <w:r w:rsidR="008249A1" w:rsidRPr="008249A1">
              <w:rPr>
                <w:rFonts w:eastAsia="Times New Roman" w:cs="Times New Roman"/>
                <w:b/>
                <w:bCs/>
                <w:lang w:eastAsia="it-IT"/>
              </w:rPr>
              <w:t>4</w:t>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C6D9F1" w:themeFill="text2" w:themeFillTint="33"/>
            <w:vAlign w:val="center"/>
            <w:hideMark/>
          </w:tcPr>
          <w:p w:rsidR="00F9436F" w:rsidRPr="008249A1" w:rsidRDefault="00F9436F" w:rsidP="008249A1">
            <w:pPr>
              <w:jc w:val="center"/>
              <w:rPr>
                <w:rFonts w:eastAsia="Times New Roman" w:cs="Times New Roman"/>
                <w:b/>
                <w:bCs/>
                <w:lang w:eastAsia="it-IT"/>
              </w:rPr>
            </w:pPr>
            <w:r w:rsidRPr="008249A1">
              <w:rPr>
                <w:rFonts w:eastAsia="Times New Roman" w:cs="Times New Roman"/>
                <w:b/>
                <w:bCs/>
                <w:lang w:eastAsia="it-IT"/>
              </w:rPr>
              <w:t>Anno 201</w:t>
            </w:r>
            <w:r w:rsidR="008249A1" w:rsidRPr="008249A1">
              <w:rPr>
                <w:rFonts w:eastAsia="Times New Roman" w:cs="Times New Roman"/>
                <w:b/>
                <w:bCs/>
                <w:lang w:eastAsia="it-IT"/>
              </w:rPr>
              <w:t>5</w:t>
            </w:r>
          </w:p>
        </w:tc>
      </w:tr>
      <w:tr w:rsidR="00B41413" w:rsidRPr="00C73652" w:rsidTr="00A143DB">
        <w:trPr>
          <w:trHeight w:val="300"/>
          <w:jc w:val="center"/>
        </w:trPr>
        <w:tc>
          <w:tcPr>
            <w:tcW w:w="557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B41413" w:rsidRPr="00C73652" w:rsidRDefault="00B41413" w:rsidP="00405BF3">
            <w:pPr>
              <w:spacing w:after="0" w:line="240" w:lineRule="auto"/>
              <w:rPr>
                <w:rFonts w:ascii="Calibri" w:eastAsia="Times New Roman" w:hAnsi="Calibri" w:cs="Arial"/>
                <w:lang w:eastAsia="it-IT"/>
              </w:rPr>
            </w:pPr>
            <w:r w:rsidRPr="00C73652">
              <w:rPr>
                <w:rFonts w:ascii="Calibri" w:eastAsia="Times New Roman" w:hAnsi="Calibri" w:cs="Times New Roman"/>
                <w:color w:val="000000"/>
                <w:lang w:eastAsia="it-IT"/>
              </w:rPr>
              <w:t>Ruolo sanitario</w:t>
            </w: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B41413" w:rsidRPr="00C73652" w:rsidRDefault="00B41413" w:rsidP="00C73652">
            <w:pPr>
              <w:spacing w:after="0" w:line="240" w:lineRule="auto"/>
              <w:jc w:val="right"/>
              <w:rPr>
                <w:rFonts w:ascii="Calibri" w:eastAsia="Times New Roman" w:hAnsi="Calibri" w:cs="Times New Roman"/>
                <w:color w:val="000000"/>
                <w:lang w:eastAsia="it-IT"/>
              </w:rPr>
            </w:pPr>
            <w:r w:rsidRPr="00C73652">
              <w:rPr>
                <w:rFonts w:ascii="Calibri" w:eastAsia="Times New Roman" w:hAnsi="Calibri" w:cs="Times New Roman"/>
                <w:color w:val="000000"/>
                <w:lang w:eastAsia="it-IT"/>
              </w:rPr>
              <w:t>3</w:t>
            </w:r>
            <w:r w:rsidR="00C73652" w:rsidRPr="00C73652">
              <w:rPr>
                <w:rFonts w:ascii="Calibri" w:eastAsia="Times New Roman" w:hAnsi="Calibri" w:cs="Times New Roman"/>
                <w:color w:val="000000"/>
                <w:lang w:eastAsia="it-IT"/>
              </w:rPr>
              <w:t>8</w:t>
            </w:r>
            <w:r w:rsidRPr="00C73652">
              <w:rPr>
                <w:rFonts w:ascii="Calibri" w:eastAsia="Times New Roman" w:hAnsi="Calibri" w:cs="Times New Roman"/>
                <w:color w:val="000000"/>
                <w:lang w:eastAsia="it-IT"/>
              </w:rPr>
              <w:t>7,</w:t>
            </w:r>
            <w:r w:rsidR="00C73652" w:rsidRPr="00C73652">
              <w:rPr>
                <w:rFonts w:ascii="Calibri" w:eastAsia="Times New Roman" w:hAnsi="Calibri" w:cs="Times New Roman"/>
                <w:color w:val="000000"/>
                <w:lang w:eastAsia="it-IT"/>
              </w:rPr>
              <w:t>64</w:t>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B41413" w:rsidRPr="00C73652" w:rsidRDefault="00AB13AC" w:rsidP="00C73652">
            <w:pPr>
              <w:spacing w:after="0" w:line="240" w:lineRule="auto"/>
              <w:jc w:val="right"/>
              <w:rPr>
                <w:rFonts w:ascii="Calibri" w:eastAsia="Times New Roman" w:hAnsi="Calibri" w:cs="Times New Roman"/>
                <w:color w:val="000000"/>
                <w:lang w:eastAsia="it-IT"/>
              </w:rPr>
            </w:pPr>
            <w:r w:rsidRPr="00C73652">
              <w:rPr>
                <w:rFonts w:ascii="Calibri" w:eastAsia="Times New Roman" w:hAnsi="Calibri" w:cs="Times New Roman"/>
                <w:color w:val="000000"/>
                <w:lang w:eastAsia="it-IT"/>
              </w:rPr>
              <w:t>38</w:t>
            </w:r>
            <w:r w:rsidR="00C73652" w:rsidRPr="00C73652">
              <w:rPr>
                <w:rFonts w:ascii="Calibri" w:eastAsia="Times New Roman" w:hAnsi="Calibri" w:cs="Times New Roman"/>
                <w:color w:val="000000"/>
                <w:lang w:eastAsia="it-IT"/>
              </w:rPr>
              <w:t>4</w:t>
            </w:r>
            <w:r w:rsidRPr="00C73652">
              <w:rPr>
                <w:rFonts w:ascii="Calibri" w:eastAsia="Times New Roman" w:hAnsi="Calibri" w:cs="Times New Roman"/>
                <w:color w:val="000000"/>
                <w:lang w:eastAsia="it-IT"/>
              </w:rPr>
              <w:t>,</w:t>
            </w:r>
            <w:r w:rsidR="00C73652" w:rsidRPr="00C73652">
              <w:rPr>
                <w:rFonts w:ascii="Calibri" w:eastAsia="Times New Roman" w:hAnsi="Calibri" w:cs="Times New Roman"/>
                <w:color w:val="000000"/>
                <w:lang w:eastAsia="it-IT"/>
              </w:rPr>
              <w:t>50</w:t>
            </w:r>
          </w:p>
        </w:tc>
      </w:tr>
      <w:tr w:rsidR="00B41413" w:rsidRPr="00C73652" w:rsidTr="00A143DB">
        <w:trPr>
          <w:trHeight w:val="328"/>
          <w:jc w:val="center"/>
        </w:trPr>
        <w:tc>
          <w:tcPr>
            <w:tcW w:w="557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B41413" w:rsidRPr="00C73652" w:rsidRDefault="00B41413" w:rsidP="00405BF3">
            <w:pPr>
              <w:spacing w:after="0" w:line="240" w:lineRule="auto"/>
              <w:rPr>
                <w:rFonts w:ascii="Calibri" w:eastAsia="Times New Roman" w:hAnsi="Calibri" w:cs="Arial"/>
                <w:lang w:eastAsia="it-IT"/>
              </w:rPr>
            </w:pPr>
            <w:r w:rsidRPr="00C73652">
              <w:rPr>
                <w:rFonts w:ascii="Calibri" w:eastAsia="Times New Roman" w:hAnsi="Calibri" w:cs="Times New Roman"/>
                <w:color w:val="000000"/>
                <w:lang w:eastAsia="it-IT"/>
              </w:rPr>
              <w:t>Ruolo professionale</w:t>
            </w: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B41413" w:rsidRPr="00C73652" w:rsidRDefault="00B41413" w:rsidP="00844122">
            <w:pPr>
              <w:spacing w:after="0" w:line="240" w:lineRule="auto"/>
              <w:jc w:val="right"/>
              <w:rPr>
                <w:rFonts w:ascii="Calibri" w:eastAsia="Times New Roman" w:hAnsi="Calibri" w:cs="Times New Roman"/>
                <w:color w:val="000000"/>
                <w:lang w:eastAsia="it-IT"/>
              </w:rPr>
            </w:pPr>
            <w:r w:rsidRPr="00C73652">
              <w:rPr>
                <w:rFonts w:ascii="Calibri" w:eastAsia="Times New Roman" w:hAnsi="Calibri" w:cs="Times New Roman"/>
                <w:color w:val="000000"/>
                <w:lang w:eastAsia="it-IT"/>
              </w:rPr>
              <w:t>2</w:t>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B41413" w:rsidRPr="00C73652" w:rsidRDefault="00AB13AC" w:rsidP="00405BF3">
            <w:pPr>
              <w:spacing w:after="0" w:line="240" w:lineRule="auto"/>
              <w:jc w:val="right"/>
              <w:rPr>
                <w:rFonts w:ascii="Calibri" w:eastAsia="Times New Roman" w:hAnsi="Calibri" w:cs="Times New Roman"/>
                <w:color w:val="000000"/>
                <w:lang w:eastAsia="it-IT"/>
              </w:rPr>
            </w:pPr>
            <w:r w:rsidRPr="00C73652">
              <w:rPr>
                <w:rFonts w:ascii="Calibri" w:eastAsia="Times New Roman" w:hAnsi="Calibri" w:cs="Times New Roman"/>
                <w:color w:val="000000"/>
                <w:lang w:eastAsia="it-IT"/>
              </w:rPr>
              <w:t>2</w:t>
            </w:r>
            <w:r w:rsidR="00C73652" w:rsidRPr="00C73652">
              <w:rPr>
                <w:rFonts w:ascii="Calibri" w:eastAsia="Times New Roman" w:hAnsi="Calibri" w:cs="Times New Roman"/>
                <w:color w:val="000000"/>
                <w:lang w:eastAsia="it-IT"/>
              </w:rPr>
              <w:t>,09</w:t>
            </w:r>
          </w:p>
        </w:tc>
      </w:tr>
      <w:tr w:rsidR="00B41413" w:rsidRPr="00C73652" w:rsidTr="00A143DB">
        <w:trPr>
          <w:trHeight w:val="328"/>
          <w:jc w:val="center"/>
        </w:trPr>
        <w:tc>
          <w:tcPr>
            <w:tcW w:w="557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B41413" w:rsidRPr="00C73652" w:rsidRDefault="00B41413" w:rsidP="00405BF3">
            <w:pPr>
              <w:spacing w:after="0" w:line="240" w:lineRule="auto"/>
              <w:rPr>
                <w:rFonts w:ascii="Calibri" w:eastAsia="Times New Roman" w:hAnsi="Calibri" w:cs="Times New Roman"/>
                <w:color w:val="000000"/>
                <w:lang w:eastAsia="it-IT"/>
              </w:rPr>
            </w:pPr>
            <w:r w:rsidRPr="00C73652">
              <w:rPr>
                <w:rFonts w:ascii="Calibri" w:eastAsia="Times New Roman" w:hAnsi="Calibri" w:cs="Times New Roman"/>
                <w:color w:val="000000"/>
                <w:lang w:eastAsia="it-IT"/>
              </w:rPr>
              <w:t>Ruolo tecnico</w:t>
            </w: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B41413" w:rsidRPr="00C73652" w:rsidRDefault="00B41413" w:rsidP="00C73652">
            <w:pPr>
              <w:spacing w:after="0" w:line="240" w:lineRule="auto"/>
              <w:jc w:val="right"/>
              <w:rPr>
                <w:rFonts w:ascii="Calibri" w:eastAsia="Times New Roman" w:hAnsi="Calibri" w:cs="Times New Roman"/>
                <w:color w:val="000000"/>
                <w:lang w:eastAsia="it-IT"/>
              </w:rPr>
            </w:pPr>
            <w:r w:rsidRPr="00C73652">
              <w:rPr>
                <w:rFonts w:ascii="Calibri" w:eastAsia="Times New Roman" w:hAnsi="Calibri" w:cs="Times New Roman"/>
                <w:color w:val="000000"/>
                <w:lang w:eastAsia="it-IT"/>
              </w:rPr>
              <w:t>136,</w:t>
            </w:r>
            <w:r w:rsidR="00C73652" w:rsidRPr="00C73652">
              <w:rPr>
                <w:rFonts w:ascii="Calibri" w:eastAsia="Times New Roman" w:hAnsi="Calibri" w:cs="Times New Roman"/>
                <w:color w:val="000000"/>
                <w:lang w:eastAsia="it-IT"/>
              </w:rPr>
              <w:t>72</w:t>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B41413" w:rsidRPr="00C73652" w:rsidRDefault="00AB13AC" w:rsidP="00C73652">
            <w:pPr>
              <w:spacing w:after="0" w:line="240" w:lineRule="auto"/>
              <w:jc w:val="right"/>
              <w:rPr>
                <w:rFonts w:ascii="Calibri" w:eastAsia="Times New Roman" w:hAnsi="Calibri" w:cs="Times New Roman"/>
                <w:color w:val="000000"/>
                <w:lang w:eastAsia="it-IT"/>
              </w:rPr>
            </w:pPr>
            <w:r w:rsidRPr="00C73652">
              <w:rPr>
                <w:rFonts w:ascii="Calibri" w:eastAsia="Times New Roman" w:hAnsi="Calibri" w:cs="Times New Roman"/>
                <w:color w:val="000000"/>
                <w:lang w:eastAsia="it-IT"/>
              </w:rPr>
              <w:t>13</w:t>
            </w:r>
            <w:r w:rsidR="00C73652" w:rsidRPr="00C73652">
              <w:rPr>
                <w:rFonts w:ascii="Calibri" w:eastAsia="Times New Roman" w:hAnsi="Calibri" w:cs="Times New Roman"/>
                <w:color w:val="000000"/>
                <w:lang w:eastAsia="it-IT"/>
              </w:rPr>
              <w:t>1</w:t>
            </w:r>
            <w:r w:rsidRPr="00C73652">
              <w:rPr>
                <w:rFonts w:ascii="Calibri" w:eastAsia="Times New Roman" w:hAnsi="Calibri" w:cs="Times New Roman"/>
                <w:color w:val="000000"/>
                <w:lang w:eastAsia="it-IT"/>
              </w:rPr>
              <w:t>,</w:t>
            </w:r>
            <w:r w:rsidR="00C73652" w:rsidRPr="00C73652">
              <w:rPr>
                <w:rFonts w:ascii="Calibri" w:eastAsia="Times New Roman" w:hAnsi="Calibri" w:cs="Times New Roman"/>
                <w:color w:val="000000"/>
                <w:lang w:eastAsia="it-IT"/>
              </w:rPr>
              <w:t>87</w:t>
            </w:r>
          </w:p>
        </w:tc>
      </w:tr>
      <w:tr w:rsidR="00B41413" w:rsidRPr="00C73652" w:rsidTr="00A143DB">
        <w:trPr>
          <w:trHeight w:val="328"/>
          <w:jc w:val="center"/>
        </w:trPr>
        <w:tc>
          <w:tcPr>
            <w:tcW w:w="557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B41413" w:rsidRPr="00C73652" w:rsidRDefault="00B41413" w:rsidP="00405BF3">
            <w:pPr>
              <w:spacing w:after="0" w:line="240" w:lineRule="auto"/>
              <w:rPr>
                <w:rFonts w:ascii="Calibri" w:eastAsia="Times New Roman" w:hAnsi="Calibri" w:cs="Times New Roman"/>
                <w:color w:val="000000"/>
                <w:lang w:eastAsia="it-IT"/>
              </w:rPr>
            </w:pPr>
            <w:r w:rsidRPr="00C73652">
              <w:rPr>
                <w:rFonts w:ascii="Calibri" w:eastAsia="Times New Roman" w:hAnsi="Calibri" w:cs="Times New Roman"/>
                <w:color w:val="000000"/>
                <w:lang w:eastAsia="it-IT"/>
              </w:rPr>
              <w:t>Ruolo amministrativo</w:t>
            </w: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B41413" w:rsidRPr="00C73652" w:rsidRDefault="00B41413" w:rsidP="00C73652">
            <w:pPr>
              <w:spacing w:after="0" w:line="240" w:lineRule="auto"/>
              <w:jc w:val="right"/>
              <w:rPr>
                <w:rFonts w:ascii="Calibri" w:eastAsia="Times New Roman" w:hAnsi="Calibri" w:cs="Times New Roman"/>
                <w:color w:val="000000"/>
                <w:lang w:eastAsia="it-IT"/>
              </w:rPr>
            </w:pPr>
            <w:r w:rsidRPr="00C73652">
              <w:rPr>
                <w:rFonts w:ascii="Calibri" w:eastAsia="Times New Roman" w:hAnsi="Calibri" w:cs="Times New Roman"/>
                <w:color w:val="000000"/>
                <w:lang w:eastAsia="it-IT"/>
              </w:rPr>
              <w:t>6</w:t>
            </w:r>
            <w:r w:rsidR="00C73652" w:rsidRPr="00C73652">
              <w:rPr>
                <w:rFonts w:ascii="Calibri" w:eastAsia="Times New Roman" w:hAnsi="Calibri" w:cs="Times New Roman"/>
                <w:color w:val="000000"/>
                <w:lang w:eastAsia="it-IT"/>
              </w:rPr>
              <w:t>4</w:t>
            </w:r>
            <w:r w:rsidRPr="00C73652">
              <w:rPr>
                <w:rFonts w:ascii="Calibri" w:eastAsia="Times New Roman" w:hAnsi="Calibri" w:cs="Times New Roman"/>
                <w:color w:val="000000"/>
                <w:lang w:eastAsia="it-IT"/>
              </w:rPr>
              <w:t>,</w:t>
            </w:r>
            <w:r w:rsidR="00C73652" w:rsidRPr="00C73652">
              <w:rPr>
                <w:rFonts w:ascii="Calibri" w:eastAsia="Times New Roman" w:hAnsi="Calibri" w:cs="Times New Roman"/>
                <w:color w:val="000000"/>
                <w:lang w:eastAsia="it-IT"/>
              </w:rPr>
              <w:t>25</w:t>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B41413" w:rsidRPr="00C73652" w:rsidRDefault="00AB13AC" w:rsidP="00C73652">
            <w:pPr>
              <w:spacing w:after="0" w:line="240" w:lineRule="auto"/>
              <w:jc w:val="right"/>
              <w:rPr>
                <w:rFonts w:ascii="Calibri" w:eastAsia="Times New Roman" w:hAnsi="Calibri" w:cs="Times New Roman"/>
                <w:color w:val="000000"/>
                <w:lang w:eastAsia="it-IT"/>
              </w:rPr>
            </w:pPr>
            <w:r w:rsidRPr="00C73652">
              <w:rPr>
                <w:rFonts w:ascii="Calibri" w:eastAsia="Times New Roman" w:hAnsi="Calibri" w:cs="Times New Roman"/>
                <w:color w:val="000000"/>
                <w:lang w:eastAsia="it-IT"/>
              </w:rPr>
              <w:t>6</w:t>
            </w:r>
            <w:r w:rsidR="00C73652" w:rsidRPr="00C73652">
              <w:rPr>
                <w:rFonts w:ascii="Calibri" w:eastAsia="Times New Roman" w:hAnsi="Calibri" w:cs="Times New Roman"/>
                <w:color w:val="000000"/>
                <w:lang w:eastAsia="it-IT"/>
              </w:rPr>
              <w:t>4</w:t>
            </w:r>
            <w:r w:rsidRPr="00C73652">
              <w:rPr>
                <w:rFonts w:ascii="Calibri" w:eastAsia="Times New Roman" w:hAnsi="Calibri" w:cs="Times New Roman"/>
                <w:color w:val="000000"/>
                <w:lang w:eastAsia="it-IT"/>
              </w:rPr>
              <w:t>,</w:t>
            </w:r>
            <w:r w:rsidR="00C73652" w:rsidRPr="00C73652">
              <w:rPr>
                <w:rFonts w:ascii="Calibri" w:eastAsia="Times New Roman" w:hAnsi="Calibri" w:cs="Times New Roman"/>
                <w:color w:val="000000"/>
                <w:lang w:eastAsia="it-IT"/>
              </w:rPr>
              <w:t>05</w:t>
            </w:r>
          </w:p>
        </w:tc>
      </w:tr>
      <w:tr w:rsidR="00B41413" w:rsidRPr="00C73652" w:rsidTr="00A143DB">
        <w:trPr>
          <w:trHeight w:val="328"/>
          <w:jc w:val="center"/>
        </w:trPr>
        <w:tc>
          <w:tcPr>
            <w:tcW w:w="557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B41413" w:rsidRPr="00C73652" w:rsidRDefault="00B41413" w:rsidP="00405BF3">
            <w:pPr>
              <w:spacing w:after="0" w:line="240" w:lineRule="auto"/>
              <w:rPr>
                <w:rFonts w:ascii="Calibri" w:eastAsia="Times New Roman" w:hAnsi="Calibri" w:cs="Times New Roman"/>
                <w:color w:val="000000"/>
                <w:lang w:eastAsia="it-IT"/>
              </w:rPr>
            </w:pPr>
            <w:r w:rsidRPr="00C73652">
              <w:rPr>
                <w:rFonts w:ascii="Calibri" w:eastAsia="Times New Roman" w:hAnsi="Calibri" w:cs="Times New Roman"/>
                <w:color w:val="000000"/>
                <w:lang w:eastAsia="it-IT"/>
              </w:rPr>
              <w:t>totali</w:t>
            </w: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B41413" w:rsidRPr="00C73652" w:rsidRDefault="00B41413" w:rsidP="00C73652">
            <w:pPr>
              <w:spacing w:after="0" w:line="240" w:lineRule="auto"/>
              <w:jc w:val="right"/>
              <w:rPr>
                <w:rFonts w:ascii="Calibri" w:eastAsia="Times New Roman" w:hAnsi="Calibri" w:cs="Arial"/>
                <w:b/>
                <w:bCs/>
                <w:lang w:eastAsia="it-IT"/>
              </w:rPr>
            </w:pPr>
            <w:r w:rsidRPr="00C73652">
              <w:rPr>
                <w:rFonts w:ascii="Calibri" w:eastAsia="Times New Roman" w:hAnsi="Calibri" w:cs="Arial"/>
                <w:b/>
                <w:bCs/>
                <w:lang w:eastAsia="it-IT"/>
              </w:rPr>
              <w:t>59</w:t>
            </w:r>
            <w:r w:rsidR="00C73652" w:rsidRPr="00C73652">
              <w:rPr>
                <w:rFonts w:ascii="Calibri" w:eastAsia="Times New Roman" w:hAnsi="Calibri" w:cs="Arial"/>
                <w:b/>
                <w:bCs/>
                <w:lang w:eastAsia="it-IT"/>
              </w:rPr>
              <w:t>0</w:t>
            </w:r>
            <w:r w:rsidRPr="00C73652">
              <w:rPr>
                <w:rFonts w:ascii="Calibri" w:eastAsia="Times New Roman" w:hAnsi="Calibri" w:cs="Arial"/>
                <w:b/>
                <w:bCs/>
                <w:lang w:eastAsia="it-IT"/>
              </w:rPr>
              <w:t>,</w:t>
            </w:r>
            <w:r w:rsidR="00C73652" w:rsidRPr="00C73652">
              <w:rPr>
                <w:rFonts w:ascii="Calibri" w:eastAsia="Times New Roman" w:hAnsi="Calibri" w:cs="Arial"/>
                <w:b/>
                <w:bCs/>
                <w:lang w:eastAsia="it-IT"/>
              </w:rPr>
              <w:t>61</w:t>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B41413" w:rsidRPr="00C73652" w:rsidRDefault="00AB13AC" w:rsidP="00C73652">
            <w:pPr>
              <w:spacing w:after="0" w:line="240" w:lineRule="auto"/>
              <w:jc w:val="right"/>
              <w:rPr>
                <w:rFonts w:ascii="Calibri" w:eastAsia="Times New Roman" w:hAnsi="Calibri" w:cs="Arial"/>
                <w:b/>
                <w:bCs/>
                <w:lang w:eastAsia="it-IT"/>
              </w:rPr>
            </w:pPr>
            <w:r w:rsidRPr="00C73652">
              <w:rPr>
                <w:rFonts w:ascii="Calibri" w:eastAsia="Times New Roman" w:hAnsi="Calibri" w:cs="Arial"/>
                <w:b/>
                <w:bCs/>
                <w:lang w:eastAsia="it-IT"/>
              </w:rPr>
              <w:t>5</w:t>
            </w:r>
            <w:r w:rsidR="00C73652" w:rsidRPr="00C73652">
              <w:rPr>
                <w:rFonts w:ascii="Calibri" w:eastAsia="Times New Roman" w:hAnsi="Calibri" w:cs="Arial"/>
                <w:b/>
                <w:bCs/>
                <w:lang w:eastAsia="it-IT"/>
              </w:rPr>
              <w:t>8</w:t>
            </w:r>
            <w:r w:rsidRPr="00C73652">
              <w:rPr>
                <w:rFonts w:ascii="Calibri" w:eastAsia="Times New Roman" w:hAnsi="Calibri" w:cs="Arial"/>
                <w:b/>
                <w:bCs/>
                <w:lang w:eastAsia="it-IT"/>
              </w:rPr>
              <w:t>2,</w:t>
            </w:r>
            <w:r w:rsidR="00C73652" w:rsidRPr="00C73652">
              <w:rPr>
                <w:rFonts w:ascii="Calibri" w:eastAsia="Times New Roman" w:hAnsi="Calibri" w:cs="Arial"/>
                <w:b/>
                <w:bCs/>
                <w:lang w:eastAsia="it-IT"/>
              </w:rPr>
              <w:t>51</w:t>
            </w:r>
          </w:p>
        </w:tc>
      </w:tr>
    </w:tbl>
    <w:p w:rsidR="00F9436F" w:rsidRDefault="00AA3C97" w:rsidP="00D235CE">
      <w:pPr>
        <w:ind w:left="850" w:firstLine="566"/>
        <w:jc w:val="both"/>
        <w:rPr>
          <w:rFonts w:ascii="Calibri" w:hAnsi="Calibri"/>
          <w:sz w:val="16"/>
          <w:szCs w:val="16"/>
        </w:rPr>
      </w:pPr>
      <w:r w:rsidRPr="00C73652">
        <w:rPr>
          <w:rFonts w:ascii="Calibri" w:hAnsi="Calibri"/>
          <w:sz w:val="16"/>
          <w:szCs w:val="16"/>
        </w:rPr>
        <w:t>La tabella non considera il personale a tempo determinato finanziato con fondi di ricerca.</w:t>
      </w:r>
    </w:p>
    <w:p w:rsidR="00AD0C04" w:rsidRPr="00AD0C04" w:rsidRDefault="00AD0C04" w:rsidP="00AD0C04">
      <w:pPr>
        <w:autoSpaceDE w:val="0"/>
        <w:autoSpaceDN w:val="0"/>
        <w:adjustRightInd w:val="0"/>
        <w:spacing w:after="0" w:line="240" w:lineRule="auto"/>
        <w:rPr>
          <w:rFonts w:cs="Times New Roman"/>
          <w:b/>
        </w:rPr>
      </w:pPr>
      <w:r w:rsidRPr="00AD0C04">
        <w:rPr>
          <w:rFonts w:cs="Times New Roman"/>
          <w:b/>
        </w:rPr>
        <w:t>Personale interinale</w:t>
      </w:r>
    </w:p>
    <w:tbl>
      <w:tblPr>
        <w:tblW w:w="8183" w:type="dxa"/>
        <w:jc w:val="center"/>
        <w:tblInd w:w="-373" w:type="dxa"/>
        <w:tblCellMar>
          <w:left w:w="70" w:type="dxa"/>
          <w:right w:w="70" w:type="dxa"/>
        </w:tblCellMar>
        <w:tblLook w:val="04A0"/>
      </w:tblPr>
      <w:tblGrid>
        <w:gridCol w:w="5573"/>
        <w:gridCol w:w="1260"/>
        <w:gridCol w:w="1350"/>
      </w:tblGrid>
      <w:tr w:rsidR="00AD0C04" w:rsidRPr="00850B0B" w:rsidTr="002601F1">
        <w:trPr>
          <w:trHeight w:val="345"/>
          <w:jc w:val="center"/>
        </w:trPr>
        <w:tc>
          <w:tcPr>
            <w:tcW w:w="557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C6D9F1" w:themeFill="text2" w:themeFillTint="33"/>
            <w:vAlign w:val="center"/>
            <w:hideMark/>
          </w:tcPr>
          <w:p w:rsidR="00AD0C04" w:rsidRPr="00850B0B" w:rsidRDefault="00AD0C04" w:rsidP="002601F1">
            <w:pPr>
              <w:jc w:val="center"/>
              <w:rPr>
                <w:rFonts w:eastAsia="Times New Roman" w:cs="Times New Roman"/>
                <w:b/>
                <w:bCs/>
                <w:highlight w:val="yellow"/>
                <w:lang w:eastAsia="it-IT"/>
              </w:rPr>
            </w:pPr>
            <w:r w:rsidRPr="00AD0C04">
              <w:rPr>
                <w:rFonts w:eastAsia="Times New Roman" w:cs="Times New Roman"/>
                <w:b/>
                <w:bCs/>
                <w:lang w:eastAsia="it-IT"/>
              </w:rPr>
              <w:t>Forza Lavoro al 31 dicembre</w:t>
            </w: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C6D9F1" w:themeFill="text2" w:themeFillTint="33"/>
            <w:vAlign w:val="center"/>
            <w:hideMark/>
          </w:tcPr>
          <w:p w:rsidR="00AD0C04" w:rsidRPr="008249A1" w:rsidRDefault="00AD0C04" w:rsidP="002601F1">
            <w:pPr>
              <w:jc w:val="center"/>
              <w:rPr>
                <w:rFonts w:eastAsia="Times New Roman" w:cs="Times New Roman"/>
                <w:b/>
                <w:bCs/>
                <w:lang w:eastAsia="it-IT"/>
              </w:rPr>
            </w:pPr>
            <w:r w:rsidRPr="008249A1">
              <w:rPr>
                <w:rFonts w:eastAsia="Times New Roman" w:cs="Times New Roman"/>
                <w:b/>
                <w:bCs/>
                <w:lang w:eastAsia="it-IT"/>
              </w:rPr>
              <w:t>Anno 2014</w:t>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C6D9F1" w:themeFill="text2" w:themeFillTint="33"/>
            <w:vAlign w:val="center"/>
            <w:hideMark/>
          </w:tcPr>
          <w:p w:rsidR="00AD0C04" w:rsidRPr="008249A1" w:rsidRDefault="00AD0C04" w:rsidP="002601F1">
            <w:pPr>
              <w:jc w:val="center"/>
              <w:rPr>
                <w:rFonts w:eastAsia="Times New Roman" w:cs="Times New Roman"/>
                <w:b/>
                <w:bCs/>
                <w:lang w:eastAsia="it-IT"/>
              </w:rPr>
            </w:pPr>
            <w:r w:rsidRPr="008249A1">
              <w:rPr>
                <w:rFonts w:eastAsia="Times New Roman" w:cs="Times New Roman"/>
                <w:b/>
                <w:bCs/>
                <w:lang w:eastAsia="it-IT"/>
              </w:rPr>
              <w:t>Anno 2015</w:t>
            </w:r>
          </w:p>
        </w:tc>
      </w:tr>
      <w:tr w:rsidR="00AD0C04" w:rsidRPr="00C73652" w:rsidTr="002601F1">
        <w:trPr>
          <w:trHeight w:val="300"/>
          <w:jc w:val="center"/>
        </w:trPr>
        <w:tc>
          <w:tcPr>
            <w:tcW w:w="557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AD0C04" w:rsidRPr="00C73652" w:rsidRDefault="00AD0C04" w:rsidP="002601F1">
            <w:pPr>
              <w:spacing w:after="0" w:line="240" w:lineRule="auto"/>
              <w:rPr>
                <w:rFonts w:ascii="Calibri" w:eastAsia="Times New Roman" w:hAnsi="Calibri" w:cs="Arial"/>
                <w:lang w:eastAsia="it-IT"/>
              </w:rPr>
            </w:pPr>
            <w:r w:rsidRPr="00C73652">
              <w:rPr>
                <w:rFonts w:ascii="Calibri" w:eastAsia="Times New Roman" w:hAnsi="Calibri" w:cs="Times New Roman"/>
                <w:color w:val="000000"/>
                <w:lang w:eastAsia="it-IT"/>
              </w:rPr>
              <w:t>Ruolo sanitario</w:t>
            </w: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AD0C04" w:rsidRPr="00C73652" w:rsidRDefault="00AD0C04" w:rsidP="002601F1">
            <w:pPr>
              <w:spacing w:after="0" w:line="240" w:lineRule="auto"/>
              <w:jc w:val="right"/>
              <w:rPr>
                <w:rFonts w:ascii="Calibri" w:eastAsia="Times New Roman" w:hAnsi="Calibri" w:cs="Times New Roman"/>
                <w:color w:val="000000"/>
                <w:lang w:eastAsia="it-IT"/>
              </w:rPr>
            </w:pPr>
            <w:r>
              <w:rPr>
                <w:rFonts w:ascii="Calibri" w:eastAsia="Times New Roman" w:hAnsi="Calibri" w:cs="Times New Roman"/>
                <w:color w:val="000000"/>
                <w:lang w:eastAsia="it-IT"/>
              </w:rPr>
              <w:t>3,36</w:t>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AD0C04" w:rsidRPr="00C73652" w:rsidRDefault="00AD0C04" w:rsidP="002601F1">
            <w:pPr>
              <w:spacing w:after="0" w:line="240" w:lineRule="auto"/>
              <w:jc w:val="right"/>
              <w:rPr>
                <w:rFonts w:ascii="Calibri" w:eastAsia="Times New Roman" w:hAnsi="Calibri" w:cs="Times New Roman"/>
                <w:color w:val="000000"/>
                <w:lang w:eastAsia="it-IT"/>
              </w:rPr>
            </w:pPr>
            <w:r>
              <w:rPr>
                <w:rFonts w:ascii="Calibri" w:eastAsia="Times New Roman" w:hAnsi="Calibri" w:cs="Times New Roman"/>
                <w:color w:val="000000"/>
                <w:lang w:eastAsia="it-IT"/>
              </w:rPr>
              <w:t>6,34</w:t>
            </w:r>
          </w:p>
        </w:tc>
      </w:tr>
      <w:tr w:rsidR="00AD0C04" w:rsidRPr="00C73652" w:rsidTr="002601F1">
        <w:trPr>
          <w:trHeight w:val="328"/>
          <w:jc w:val="center"/>
        </w:trPr>
        <w:tc>
          <w:tcPr>
            <w:tcW w:w="557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AD0C04" w:rsidRPr="00C73652" w:rsidRDefault="00AD0C04" w:rsidP="002601F1">
            <w:pPr>
              <w:spacing w:after="0" w:line="240" w:lineRule="auto"/>
              <w:rPr>
                <w:rFonts w:ascii="Calibri" w:eastAsia="Times New Roman" w:hAnsi="Calibri" w:cs="Times New Roman"/>
                <w:color w:val="000000"/>
                <w:lang w:eastAsia="it-IT"/>
              </w:rPr>
            </w:pPr>
            <w:r w:rsidRPr="00C73652">
              <w:rPr>
                <w:rFonts w:ascii="Calibri" w:eastAsia="Times New Roman" w:hAnsi="Calibri" w:cs="Times New Roman"/>
                <w:color w:val="000000"/>
                <w:lang w:eastAsia="it-IT"/>
              </w:rPr>
              <w:t>Ruolo tecnico</w:t>
            </w: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AD0C04" w:rsidRPr="00C73652" w:rsidRDefault="00AD0C04" w:rsidP="002601F1">
            <w:pPr>
              <w:spacing w:after="0" w:line="240" w:lineRule="auto"/>
              <w:jc w:val="right"/>
              <w:rPr>
                <w:rFonts w:ascii="Calibri" w:eastAsia="Times New Roman" w:hAnsi="Calibri" w:cs="Times New Roman"/>
                <w:color w:val="000000"/>
                <w:lang w:eastAsia="it-IT"/>
              </w:rPr>
            </w:pPr>
            <w:r>
              <w:rPr>
                <w:rFonts w:ascii="Calibri" w:eastAsia="Times New Roman" w:hAnsi="Calibri" w:cs="Times New Roman"/>
                <w:color w:val="000000"/>
                <w:lang w:eastAsia="it-IT"/>
              </w:rPr>
              <w:t>3,6</w:t>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AD0C04" w:rsidRPr="00C73652" w:rsidRDefault="00AD0C04" w:rsidP="002601F1">
            <w:pPr>
              <w:spacing w:after="0" w:line="240" w:lineRule="auto"/>
              <w:jc w:val="right"/>
              <w:rPr>
                <w:rFonts w:ascii="Calibri" w:eastAsia="Times New Roman" w:hAnsi="Calibri" w:cs="Times New Roman"/>
                <w:color w:val="000000"/>
                <w:lang w:eastAsia="it-IT"/>
              </w:rPr>
            </w:pPr>
            <w:r>
              <w:rPr>
                <w:rFonts w:ascii="Calibri" w:eastAsia="Times New Roman" w:hAnsi="Calibri" w:cs="Times New Roman"/>
                <w:color w:val="000000"/>
                <w:lang w:eastAsia="it-IT"/>
              </w:rPr>
              <w:t>3,03</w:t>
            </w:r>
          </w:p>
        </w:tc>
      </w:tr>
      <w:tr w:rsidR="00AD0C04" w:rsidRPr="00C73652" w:rsidTr="002601F1">
        <w:trPr>
          <w:trHeight w:val="328"/>
          <w:jc w:val="center"/>
        </w:trPr>
        <w:tc>
          <w:tcPr>
            <w:tcW w:w="557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AD0C04" w:rsidRPr="00C73652" w:rsidRDefault="00AD0C04" w:rsidP="002601F1">
            <w:pPr>
              <w:spacing w:after="0" w:line="240" w:lineRule="auto"/>
              <w:rPr>
                <w:rFonts w:ascii="Calibri" w:eastAsia="Times New Roman" w:hAnsi="Calibri" w:cs="Times New Roman"/>
                <w:color w:val="000000"/>
                <w:lang w:eastAsia="it-IT"/>
              </w:rPr>
            </w:pPr>
            <w:r w:rsidRPr="00C73652">
              <w:rPr>
                <w:rFonts w:ascii="Calibri" w:eastAsia="Times New Roman" w:hAnsi="Calibri" w:cs="Times New Roman"/>
                <w:color w:val="000000"/>
                <w:lang w:eastAsia="it-IT"/>
              </w:rPr>
              <w:t>Ruolo amministrativo</w:t>
            </w: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AD0C04" w:rsidRPr="00C73652" w:rsidRDefault="00AD0C04" w:rsidP="002601F1">
            <w:pPr>
              <w:spacing w:after="0" w:line="240" w:lineRule="auto"/>
              <w:jc w:val="right"/>
              <w:rPr>
                <w:rFonts w:ascii="Calibri" w:eastAsia="Times New Roman" w:hAnsi="Calibri" w:cs="Times New Roman"/>
                <w:color w:val="000000"/>
                <w:lang w:eastAsia="it-IT"/>
              </w:rPr>
            </w:pPr>
            <w:r>
              <w:rPr>
                <w:rFonts w:ascii="Calibri" w:eastAsia="Times New Roman" w:hAnsi="Calibri" w:cs="Times New Roman"/>
                <w:color w:val="000000"/>
                <w:lang w:eastAsia="it-IT"/>
              </w:rPr>
              <w:t>6,83</w:t>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AD0C04" w:rsidRPr="00C73652" w:rsidRDefault="00AD0C04" w:rsidP="002601F1">
            <w:pPr>
              <w:spacing w:after="0" w:line="240" w:lineRule="auto"/>
              <w:jc w:val="right"/>
              <w:rPr>
                <w:rFonts w:ascii="Calibri" w:eastAsia="Times New Roman" w:hAnsi="Calibri" w:cs="Times New Roman"/>
                <w:color w:val="000000"/>
                <w:lang w:eastAsia="it-IT"/>
              </w:rPr>
            </w:pPr>
            <w:r>
              <w:rPr>
                <w:rFonts w:ascii="Calibri" w:eastAsia="Times New Roman" w:hAnsi="Calibri" w:cs="Times New Roman"/>
                <w:color w:val="000000"/>
                <w:lang w:eastAsia="it-IT"/>
              </w:rPr>
              <w:t>10,66</w:t>
            </w:r>
          </w:p>
        </w:tc>
      </w:tr>
      <w:tr w:rsidR="00AD0C04" w:rsidRPr="00C73652" w:rsidTr="002601F1">
        <w:trPr>
          <w:trHeight w:val="328"/>
          <w:jc w:val="center"/>
        </w:trPr>
        <w:tc>
          <w:tcPr>
            <w:tcW w:w="557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AD0C04" w:rsidRPr="00C73652" w:rsidRDefault="00AD0C04" w:rsidP="002601F1">
            <w:pPr>
              <w:spacing w:after="0" w:line="240" w:lineRule="auto"/>
              <w:rPr>
                <w:rFonts w:ascii="Calibri" w:eastAsia="Times New Roman" w:hAnsi="Calibri" w:cs="Times New Roman"/>
                <w:color w:val="000000"/>
                <w:lang w:eastAsia="it-IT"/>
              </w:rPr>
            </w:pPr>
            <w:r w:rsidRPr="00C73652">
              <w:rPr>
                <w:rFonts w:ascii="Calibri" w:eastAsia="Times New Roman" w:hAnsi="Calibri" w:cs="Times New Roman"/>
                <w:color w:val="000000"/>
                <w:lang w:eastAsia="it-IT"/>
              </w:rPr>
              <w:t>totali</w:t>
            </w: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AD0C04" w:rsidRPr="00C73652" w:rsidRDefault="00AD0C04" w:rsidP="002601F1">
            <w:pPr>
              <w:spacing w:after="0" w:line="240" w:lineRule="auto"/>
              <w:jc w:val="right"/>
              <w:rPr>
                <w:rFonts w:ascii="Calibri" w:eastAsia="Times New Roman" w:hAnsi="Calibri" w:cs="Arial"/>
                <w:b/>
                <w:bCs/>
                <w:lang w:eastAsia="it-IT"/>
              </w:rPr>
            </w:pPr>
            <w:r>
              <w:rPr>
                <w:rFonts w:ascii="Calibri" w:eastAsia="Times New Roman" w:hAnsi="Calibri" w:cs="Arial"/>
                <w:b/>
                <w:bCs/>
                <w:lang w:eastAsia="it-IT"/>
              </w:rPr>
              <w:t>13,79</w:t>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AD0C04" w:rsidRPr="00C73652" w:rsidRDefault="00AD0C04" w:rsidP="002601F1">
            <w:pPr>
              <w:spacing w:after="0" w:line="240" w:lineRule="auto"/>
              <w:jc w:val="right"/>
              <w:rPr>
                <w:rFonts w:ascii="Calibri" w:eastAsia="Times New Roman" w:hAnsi="Calibri" w:cs="Arial"/>
                <w:b/>
                <w:bCs/>
                <w:lang w:eastAsia="it-IT"/>
              </w:rPr>
            </w:pPr>
            <w:r>
              <w:rPr>
                <w:rFonts w:ascii="Calibri" w:eastAsia="Times New Roman" w:hAnsi="Calibri" w:cs="Arial"/>
                <w:b/>
                <w:bCs/>
                <w:lang w:eastAsia="it-IT"/>
              </w:rPr>
              <w:t>20,03</w:t>
            </w:r>
          </w:p>
        </w:tc>
      </w:tr>
    </w:tbl>
    <w:p w:rsidR="00AD0C04" w:rsidRDefault="00AD0C04" w:rsidP="0039352F">
      <w:pPr>
        <w:spacing w:after="240"/>
        <w:rPr>
          <w:rFonts w:ascii="Calibri" w:hAnsi="Calibri"/>
          <w:sz w:val="16"/>
          <w:szCs w:val="16"/>
        </w:rPr>
      </w:pPr>
    </w:p>
    <w:p w:rsidR="0062493F" w:rsidRDefault="00D9662C" w:rsidP="0039352F">
      <w:pPr>
        <w:autoSpaceDE w:val="0"/>
        <w:autoSpaceDN w:val="0"/>
        <w:adjustRightInd w:val="0"/>
        <w:spacing w:after="120" w:line="240" w:lineRule="auto"/>
        <w:rPr>
          <w:rFonts w:cs="Times New Roman"/>
          <w:b/>
        </w:rPr>
      </w:pPr>
      <w:r>
        <w:rPr>
          <w:rFonts w:cs="Times New Roman"/>
          <w:b/>
        </w:rPr>
        <w:t>7</w:t>
      </w:r>
      <w:r w:rsidR="0062493F">
        <w:rPr>
          <w:rFonts w:cs="Times New Roman"/>
          <w:b/>
        </w:rPr>
        <w:t>. Conto Economico</w:t>
      </w:r>
    </w:p>
    <w:p w:rsidR="00E85CDD" w:rsidRDefault="004C4770" w:rsidP="00F34174">
      <w:pPr>
        <w:autoSpaceDE w:val="0"/>
        <w:autoSpaceDN w:val="0"/>
        <w:adjustRightInd w:val="0"/>
        <w:spacing w:after="0" w:line="240" w:lineRule="auto"/>
        <w:rPr>
          <w:rFonts w:cs="Times New Roman"/>
          <w:b/>
          <w:noProof/>
          <w:lang w:eastAsia="it-IT"/>
        </w:rPr>
      </w:pPr>
      <w:r>
        <w:rPr>
          <w:rFonts w:cs="Times New Roman"/>
          <w:b/>
          <w:noProof/>
          <w:lang w:eastAsia="it-IT"/>
        </w:rPr>
        <w:drawing>
          <wp:inline distT="0" distB="0" distL="0" distR="0">
            <wp:extent cx="5848350" cy="4010904"/>
            <wp:effectExtent l="19050" t="0" r="0" b="0"/>
            <wp:docPr id="7"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t="8509" b="1702"/>
                    <a:stretch>
                      <a:fillRect/>
                    </a:stretch>
                  </pic:blipFill>
                  <pic:spPr bwMode="auto">
                    <a:xfrm>
                      <a:off x="0" y="0"/>
                      <a:ext cx="5848350" cy="4010904"/>
                    </a:xfrm>
                    <a:prstGeom prst="rect">
                      <a:avLst/>
                    </a:prstGeom>
                    <a:noFill/>
                    <a:ln w="9525">
                      <a:noFill/>
                      <a:miter lim="800000"/>
                      <a:headEnd/>
                      <a:tailEnd/>
                    </a:ln>
                  </pic:spPr>
                </pic:pic>
              </a:graphicData>
            </a:graphic>
          </wp:inline>
        </w:drawing>
      </w:r>
    </w:p>
    <w:p w:rsidR="0039352F" w:rsidRDefault="0039352F" w:rsidP="00B2118A">
      <w:pPr>
        <w:suppressAutoHyphens/>
        <w:spacing w:after="0" w:line="240" w:lineRule="auto"/>
        <w:ind w:firstLine="686"/>
        <w:jc w:val="both"/>
        <w:rPr>
          <w:sz w:val="24"/>
          <w:szCs w:val="24"/>
        </w:rPr>
      </w:pPr>
    </w:p>
    <w:p w:rsidR="00B2118A" w:rsidRPr="00B2118A" w:rsidRDefault="00B2118A" w:rsidP="00B2118A">
      <w:pPr>
        <w:suppressAutoHyphens/>
        <w:spacing w:after="0" w:line="240" w:lineRule="auto"/>
        <w:ind w:firstLine="686"/>
        <w:jc w:val="both"/>
        <w:rPr>
          <w:sz w:val="24"/>
          <w:szCs w:val="24"/>
        </w:rPr>
      </w:pPr>
      <w:r w:rsidRPr="00B2118A">
        <w:rPr>
          <w:sz w:val="24"/>
          <w:szCs w:val="24"/>
        </w:rPr>
        <w:lastRenderedPageBreak/>
        <w:t>L’Istituto ha chiuso il Bilancio di esercizio 2015 con un utile di € 13.351.803.-.</w:t>
      </w:r>
    </w:p>
    <w:p w:rsidR="00B2118A" w:rsidRPr="00B2118A" w:rsidRDefault="00B2118A" w:rsidP="00B2118A">
      <w:pPr>
        <w:suppressAutoHyphens/>
        <w:spacing w:after="0" w:line="240" w:lineRule="auto"/>
        <w:ind w:firstLine="686"/>
        <w:jc w:val="both"/>
        <w:rPr>
          <w:sz w:val="24"/>
          <w:szCs w:val="24"/>
        </w:rPr>
      </w:pPr>
      <w:r w:rsidRPr="00B2118A">
        <w:rPr>
          <w:sz w:val="24"/>
          <w:szCs w:val="24"/>
        </w:rPr>
        <w:t>Durante l’esercizio, l’Istituto ha orientato le proprie politiche sanitarie/scientifiche e gestionali al perseguimento dell’equilibrio di bilancio ponendo particolare attenzione, nello svolgimento del proprio operato, alla verifica della compatibilità e della sostenibilità dei costi con le risorse economiche a disposizione e ad un oculato utilizzo dei fondi finalizzati.</w:t>
      </w:r>
    </w:p>
    <w:p w:rsidR="00B2118A" w:rsidRPr="00B2118A" w:rsidRDefault="00B2118A" w:rsidP="00B2118A">
      <w:pPr>
        <w:suppressAutoHyphens/>
        <w:spacing w:after="0" w:line="240" w:lineRule="auto"/>
        <w:ind w:firstLine="686"/>
        <w:jc w:val="both"/>
        <w:rPr>
          <w:sz w:val="24"/>
          <w:szCs w:val="24"/>
        </w:rPr>
      </w:pPr>
      <w:r w:rsidRPr="00B2118A">
        <w:rPr>
          <w:sz w:val="24"/>
          <w:szCs w:val="24"/>
        </w:rPr>
        <w:t>L’assegnazione del finanziamento ministeriale per la ricerca corrente è stata comunicata con nota work flow del 3.12.2015 e successivamente integrata con nota in data 14.03.2016.</w:t>
      </w:r>
    </w:p>
    <w:p w:rsidR="00B2118A" w:rsidRDefault="00B2118A" w:rsidP="00B2118A">
      <w:pPr>
        <w:suppressAutoHyphens/>
        <w:spacing w:after="0" w:line="240" w:lineRule="auto"/>
        <w:ind w:firstLine="686"/>
        <w:jc w:val="both"/>
        <w:rPr>
          <w:sz w:val="24"/>
          <w:szCs w:val="24"/>
        </w:rPr>
      </w:pPr>
      <w:r w:rsidRPr="00B2118A">
        <w:rPr>
          <w:sz w:val="24"/>
          <w:szCs w:val="24"/>
        </w:rPr>
        <w:t>L’utile realizzato non è la conseguenza di un mancato utilizzo di parte delle risorse assegnate ma viene adeguatamente dettagliato:</w:t>
      </w:r>
    </w:p>
    <w:p w:rsidR="0039352F" w:rsidRPr="00B2118A" w:rsidRDefault="0039352F" w:rsidP="00B2118A">
      <w:pPr>
        <w:suppressAutoHyphens/>
        <w:spacing w:after="0" w:line="240" w:lineRule="auto"/>
        <w:ind w:firstLine="686"/>
        <w:jc w:val="both"/>
        <w:rPr>
          <w:sz w:val="24"/>
          <w:szCs w:val="24"/>
        </w:rPr>
      </w:pPr>
    </w:p>
    <w:tbl>
      <w:tblPr>
        <w:tblW w:w="7977" w:type="dxa"/>
        <w:jc w:val="center"/>
        <w:tblInd w:w="-1022" w:type="dxa"/>
        <w:tblCellMar>
          <w:left w:w="70" w:type="dxa"/>
          <w:right w:w="70" w:type="dxa"/>
        </w:tblCellMar>
        <w:tblLook w:val="04A0"/>
      </w:tblPr>
      <w:tblGrid>
        <w:gridCol w:w="6742"/>
        <w:gridCol w:w="1235"/>
      </w:tblGrid>
      <w:tr w:rsidR="00B2118A" w:rsidRPr="004B65E6" w:rsidTr="00B2118A">
        <w:trPr>
          <w:trHeight w:val="315"/>
          <w:tblHeader/>
          <w:jc w:val="center"/>
        </w:trPr>
        <w:tc>
          <w:tcPr>
            <w:tcW w:w="6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118A" w:rsidRPr="00B2118A" w:rsidRDefault="00B2118A" w:rsidP="00B12FBA">
            <w:pPr>
              <w:spacing w:after="0" w:line="240" w:lineRule="auto"/>
              <w:jc w:val="center"/>
              <w:rPr>
                <w:b/>
                <w:bCs/>
                <w:color w:val="000000"/>
                <w:sz w:val="24"/>
                <w:szCs w:val="24"/>
                <w:lang w:eastAsia="it-IT"/>
              </w:rPr>
            </w:pPr>
            <w:r w:rsidRPr="00B2118A">
              <w:rPr>
                <w:b/>
                <w:bCs/>
                <w:color w:val="000000"/>
                <w:sz w:val="24"/>
                <w:szCs w:val="24"/>
                <w:lang w:eastAsia="it-IT"/>
              </w:rPr>
              <w:t>Aggregato</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rsidR="00B2118A" w:rsidRPr="00B2118A" w:rsidRDefault="00B2118A" w:rsidP="00B12FBA">
            <w:pPr>
              <w:spacing w:after="0" w:line="240" w:lineRule="auto"/>
              <w:jc w:val="center"/>
              <w:rPr>
                <w:b/>
                <w:bCs/>
                <w:sz w:val="24"/>
                <w:szCs w:val="24"/>
                <w:lang w:eastAsia="it-IT"/>
              </w:rPr>
            </w:pPr>
            <w:r w:rsidRPr="00B2118A">
              <w:rPr>
                <w:b/>
                <w:bCs/>
                <w:sz w:val="24"/>
                <w:szCs w:val="24"/>
                <w:lang w:eastAsia="it-IT"/>
              </w:rPr>
              <w:t>Euro</w:t>
            </w:r>
          </w:p>
        </w:tc>
      </w:tr>
      <w:tr w:rsidR="00B2118A" w:rsidRPr="004B65E6" w:rsidTr="00B2118A">
        <w:trPr>
          <w:trHeight w:val="320"/>
          <w:jc w:val="center"/>
        </w:trPr>
        <w:tc>
          <w:tcPr>
            <w:tcW w:w="6742" w:type="dxa"/>
            <w:tcBorders>
              <w:top w:val="nil"/>
              <w:left w:val="single" w:sz="4" w:space="0" w:color="auto"/>
              <w:bottom w:val="single" w:sz="4" w:space="0" w:color="auto"/>
              <w:right w:val="single" w:sz="4" w:space="0" w:color="auto"/>
            </w:tcBorders>
            <w:shd w:val="clear" w:color="auto" w:fill="auto"/>
            <w:noWrap/>
            <w:hideMark/>
          </w:tcPr>
          <w:p w:rsidR="00B2118A" w:rsidRPr="00B2118A" w:rsidRDefault="00B2118A" w:rsidP="00B12FBA">
            <w:pPr>
              <w:spacing w:after="0" w:line="240" w:lineRule="auto"/>
              <w:rPr>
                <w:sz w:val="24"/>
                <w:szCs w:val="24"/>
                <w:lang w:eastAsia="it-IT"/>
              </w:rPr>
            </w:pPr>
            <w:r w:rsidRPr="00B2118A">
              <w:rPr>
                <w:sz w:val="24"/>
                <w:szCs w:val="24"/>
                <w:lang w:eastAsia="it-IT"/>
              </w:rPr>
              <w:t xml:space="preserve">Differenza tra valore della Produzione e costi della produzione  </w:t>
            </w:r>
          </w:p>
        </w:tc>
        <w:tc>
          <w:tcPr>
            <w:tcW w:w="1235" w:type="dxa"/>
            <w:tcBorders>
              <w:top w:val="nil"/>
              <w:left w:val="nil"/>
              <w:bottom w:val="single" w:sz="4" w:space="0" w:color="auto"/>
              <w:right w:val="single" w:sz="4" w:space="0" w:color="auto"/>
            </w:tcBorders>
            <w:shd w:val="clear" w:color="auto" w:fill="auto"/>
            <w:noWrap/>
            <w:hideMark/>
          </w:tcPr>
          <w:p w:rsidR="00B2118A" w:rsidRPr="00B2118A" w:rsidRDefault="00B2118A" w:rsidP="00B12FBA">
            <w:pPr>
              <w:spacing w:after="0" w:line="240" w:lineRule="auto"/>
              <w:jc w:val="right"/>
              <w:rPr>
                <w:sz w:val="24"/>
                <w:szCs w:val="24"/>
                <w:lang w:eastAsia="it-IT"/>
              </w:rPr>
            </w:pPr>
            <w:r w:rsidRPr="00B2118A">
              <w:rPr>
                <w:sz w:val="24"/>
                <w:szCs w:val="24"/>
                <w:lang w:eastAsia="it-IT"/>
              </w:rPr>
              <w:t>10.507.100</w:t>
            </w:r>
          </w:p>
        </w:tc>
      </w:tr>
      <w:tr w:rsidR="00B2118A" w:rsidRPr="004B65E6" w:rsidTr="00B2118A">
        <w:trPr>
          <w:trHeight w:val="411"/>
          <w:jc w:val="center"/>
        </w:trPr>
        <w:tc>
          <w:tcPr>
            <w:tcW w:w="6742" w:type="dxa"/>
            <w:tcBorders>
              <w:top w:val="nil"/>
              <w:left w:val="single" w:sz="4" w:space="0" w:color="auto"/>
              <w:bottom w:val="single" w:sz="4" w:space="0" w:color="auto"/>
              <w:right w:val="single" w:sz="4" w:space="0" w:color="auto"/>
            </w:tcBorders>
            <w:shd w:val="clear" w:color="auto" w:fill="auto"/>
            <w:noWrap/>
            <w:hideMark/>
          </w:tcPr>
          <w:p w:rsidR="00B2118A" w:rsidRPr="00B2118A" w:rsidRDefault="00B2118A" w:rsidP="00B12FBA">
            <w:pPr>
              <w:spacing w:after="0" w:line="240" w:lineRule="auto"/>
              <w:rPr>
                <w:color w:val="000000"/>
                <w:sz w:val="24"/>
                <w:szCs w:val="24"/>
                <w:lang w:eastAsia="it-IT"/>
              </w:rPr>
            </w:pPr>
            <w:r w:rsidRPr="00B2118A">
              <w:rPr>
                <w:color w:val="000000"/>
                <w:sz w:val="24"/>
                <w:szCs w:val="24"/>
                <w:lang w:eastAsia="it-IT"/>
              </w:rPr>
              <w:t xml:space="preserve">Proventi/oneri </w:t>
            </w:r>
            <w:proofErr w:type="spellStart"/>
            <w:r w:rsidRPr="00B2118A">
              <w:rPr>
                <w:color w:val="000000"/>
                <w:sz w:val="24"/>
                <w:szCs w:val="24"/>
                <w:lang w:eastAsia="it-IT"/>
              </w:rPr>
              <w:t>finaziari</w:t>
            </w:r>
            <w:proofErr w:type="spellEnd"/>
          </w:p>
        </w:tc>
        <w:tc>
          <w:tcPr>
            <w:tcW w:w="1235" w:type="dxa"/>
            <w:tcBorders>
              <w:top w:val="nil"/>
              <w:left w:val="nil"/>
              <w:bottom w:val="single" w:sz="4" w:space="0" w:color="auto"/>
              <w:right w:val="single" w:sz="4" w:space="0" w:color="auto"/>
            </w:tcBorders>
            <w:shd w:val="clear" w:color="auto" w:fill="auto"/>
            <w:noWrap/>
            <w:hideMark/>
          </w:tcPr>
          <w:p w:rsidR="00B2118A" w:rsidRPr="00B2118A" w:rsidRDefault="00B2118A" w:rsidP="00B12FBA">
            <w:pPr>
              <w:spacing w:after="0" w:line="240" w:lineRule="auto"/>
              <w:jc w:val="right"/>
              <w:rPr>
                <w:sz w:val="24"/>
                <w:szCs w:val="24"/>
                <w:lang w:eastAsia="it-IT"/>
              </w:rPr>
            </w:pPr>
            <w:r w:rsidRPr="00B2118A">
              <w:rPr>
                <w:sz w:val="24"/>
                <w:szCs w:val="24"/>
                <w:lang w:eastAsia="it-IT"/>
              </w:rPr>
              <w:t>-326.908</w:t>
            </w:r>
          </w:p>
        </w:tc>
      </w:tr>
      <w:tr w:rsidR="00B2118A" w:rsidRPr="004B65E6" w:rsidTr="00B2118A">
        <w:trPr>
          <w:trHeight w:val="417"/>
          <w:jc w:val="center"/>
        </w:trPr>
        <w:tc>
          <w:tcPr>
            <w:tcW w:w="6742" w:type="dxa"/>
            <w:tcBorders>
              <w:top w:val="nil"/>
              <w:left w:val="single" w:sz="4" w:space="0" w:color="auto"/>
              <w:bottom w:val="single" w:sz="4" w:space="0" w:color="auto"/>
              <w:right w:val="single" w:sz="4" w:space="0" w:color="auto"/>
            </w:tcBorders>
            <w:shd w:val="clear" w:color="auto" w:fill="auto"/>
            <w:noWrap/>
            <w:hideMark/>
          </w:tcPr>
          <w:p w:rsidR="00B2118A" w:rsidRPr="00B2118A" w:rsidRDefault="00B2118A" w:rsidP="00B12FBA">
            <w:pPr>
              <w:spacing w:after="0" w:line="240" w:lineRule="auto"/>
              <w:rPr>
                <w:sz w:val="24"/>
                <w:szCs w:val="24"/>
                <w:lang w:eastAsia="it-IT"/>
              </w:rPr>
            </w:pPr>
            <w:r w:rsidRPr="00B2118A">
              <w:rPr>
                <w:sz w:val="24"/>
                <w:szCs w:val="24"/>
                <w:lang w:eastAsia="it-IT"/>
              </w:rPr>
              <w:t xml:space="preserve">Proventi e oneri straordinari </w:t>
            </w:r>
          </w:p>
        </w:tc>
        <w:tc>
          <w:tcPr>
            <w:tcW w:w="1235" w:type="dxa"/>
            <w:tcBorders>
              <w:top w:val="nil"/>
              <w:left w:val="nil"/>
              <w:bottom w:val="single" w:sz="4" w:space="0" w:color="auto"/>
              <w:right w:val="single" w:sz="4" w:space="0" w:color="auto"/>
            </w:tcBorders>
            <w:shd w:val="clear" w:color="auto" w:fill="auto"/>
            <w:noWrap/>
            <w:hideMark/>
          </w:tcPr>
          <w:p w:rsidR="00B2118A" w:rsidRPr="00B2118A" w:rsidRDefault="00B2118A" w:rsidP="00B12FBA">
            <w:pPr>
              <w:spacing w:after="0" w:line="240" w:lineRule="auto"/>
              <w:jc w:val="right"/>
              <w:rPr>
                <w:sz w:val="24"/>
                <w:szCs w:val="24"/>
                <w:lang w:eastAsia="it-IT"/>
              </w:rPr>
            </w:pPr>
            <w:r w:rsidRPr="00B2118A">
              <w:rPr>
                <w:sz w:val="24"/>
                <w:szCs w:val="24"/>
                <w:lang w:eastAsia="it-IT"/>
              </w:rPr>
              <w:t>5.686.750</w:t>
            </w:r>
          </w:p>
        </w:tc>
      </w:tr>
      <w:tr w:rsidR="00B2118A" w:rsidRPr="004B65E6" w:rsidTr="00B2118A">
        <w:trPr>
          <w:trHeight w:val="341"/>
          <w:jc w:val="center"/>
        </w:trPr>
        <w:tc>
          <w:tcPr>
            <w:tcW w:w="6742" w:type="dxa"/>
            <w:tcBorders>
              <w:top w:val="nil"/>
              <w:left w:val="single" w:sz="4" w:space="0" w:color="auto"/>
              <w:bottom w:val="single" w:sz="4" w:space="0" w:color="auto"/>
              <w:right w:val="single" w:sz="4" w:space="0" w:color="auto"/>
            </w:tcBorders>
            <w:shd w:val="clear" w:color="auto" w:fill="auto"/>
            <w:noWrap/>
            <w:hideMark/>
          </w:tcPr>
          <w:p w:rsidR="00B2118A" w:rsidRPr="00B2118A" w:rsidRDefault="00B2118A" w:rsidP="00B12FBA">
            <w:pPr>
              <w:spacing w:after="0" w:line="240" w:lineRule="auto"/>
              <w:rPr>
                <w:sz w:val="24"/>
                <w:szCs w:val="24"/>
                <w:lang w:eastAsia="it-IT"/>
              </w:rPr>
            </w:pPr>
            <w:r w:rsidRPr="00B2118A">
              <w:rPr>
                <w:sz w:val="24"/>
                <w:szCs w:val="24"/>
                <w:lang w:eastAsia="it-IT"/>
              </w:rPr>
              <w:t>Imposte</w:t>
            </w:r>
          </w:p>
        </w:tc>
        <w:tc>
          <w:tcPr>
            <w:tcW w:w="1235" w:type="dxa"/>
            <w:tcBorders>
              <w:top w:val="nil"/>
              <w:left w:val="nil"/>
              <w:bottom w:val="single" w:sz="4" w:space="0" w:color="auto"/>
              <w:right w:val="single" w:sz="4" w:space="0" w:color="auto"/>
            </w:tcBorders>
            <w:shd w:val="clear" w:color="auto" w:fill="auto"/>
            <w:noWrap/>
            <w:hideMark/>
          </w:tcPr>
          <w:p w:rsidR="00B2118A" w:rsidRPr="00B2118A" w:rsidRDefault="00B2118A" w:rsidP="00B12FBA">
            <w:pPr>
              <w:spacing w:after="0" w:line="240" w:lineRule="auto"/>
              <w:jc w:val="right"/>
              <w:rPr>
                <w:sz w:val="24"/>
                <w:szCs w:val="24"/>
                <w:lang w:eastAsia="it-IT"/>
              </w:rPr>
            </w:pPr>
            <w:r w:rsidRPr="00B2118A">
              <w:rPr>
                <w:sz w:val="24"/>
                <w:szCs w:val="24"/>
                <w:lang w:eastAsia="it-IT"/>
              </w:rPr>
              <w:t>-2.515.139</w:t>
            </w:r>
          </w:p>
        </w:tc>
      </w:tr>
      <w:tr w:rsidR="00B2118A" w:rsidRPr="004B65E6" w:rsidTr="00B2118A">
        <w:trPr>
          <w:trHeight w:val="357"/>
          <w:jc w:val="center"/>
        </w:trPr>
        <w:tc>
          <w:tcPr>
            <w:tcW w:w="6742" w:type="dxa"/>
            <w:tcBorders>
              <w:top w:val="nil"/>
              <w:left w:val="single" w:sz="4" w:space="0" w:color="auto"/>
              <w:bottom w:val="single" w:sz="4" w:space="0" w:color="auto"/>
              <w:right w:val="single" w:sz="4" w:space="0" w:color="auto"/>
            </w:tcBorders>
            <w:shd w:val="clear" w:color="auto" w:fill="auto"/>
            <w:noWrap/>
            <w:hideMark/>
          </w:tcPr>
          <w:p w:rsidR="00B2118A" w:rsidRPr="00B2118A" w:rsidRDefault="00B2118A" w:rsidP="00B12FBA">
            <w:pPr>
              <w:spacing w:after="0" w:line="240" w:lineRule="auto"/>
              <w:rPr>
                <w:sz w:val="24"/>
                <w:szCs w:val="24"/>
                <w:lang w:eastAsia="it-IT"/>
              </w:rPr>
            </w:pPr>
            <w:r w:rsidRPr="00B2118A">
              <w:rPr>
                <w:sz w:val="24"/>
                <w:szCs w:val="24"/>
                <w:lang w:eastAsia="it-IT"/>
              </w:rPr>
              <w:t>UTILE ESERCIZIO 2015</w:t>
            </w:r>
          </w:p>
        </w:tc>
        <w:tc>
          <w:tcPr>
            <w:tcW w:w="1235" w:type="dxa"/>
            <w:tcBorders>
              <w:top w:val="nil"/>
              <w:left w:val="nil"/>
              <w:bottom w:val="single" w:sz="4" w:space="0" w:color="auto"/>
              <w:right w:val="single" w:sz="4" w:space="0" w:color="auto"/>
            </w:tcBorders>
            <w:shd w:val="clear" w:color="auto" w:fill="auto"/>
            <w:noWrap/>
            <w:hideMark/>
          </w:tcPr>
          <w:p w:rsidR="00B2118A" w:rsidRPr="00B2118A" w:rsidRDefault="00B2118A" w:rsidP="00B12FBA">
            <w:pPr>
              <w:spacing w:after="0" w:line="240" w:lineRule="auto"/>
              <w:jc w:val="right"/>
              <w:rPr>
                <w:color w:val="000000"/>
                <w:sz w:val="24"/>
                <w:szCs w:val="24"/>
                <w:lang w:eastAsia="it-IT"/>
              </w:rPr>
            </w:pPr>
            <w:r w:rsidRPr="00B2118A">
              <w:rPr>
                <w:color w:val="000000"/>
                <w:sz w:val="24"/>
                <w:szCs w:val="24"/>
                <w:lang w:eastAsia="it-IT"/>
              </w:rPr>
              <w:t>13.351.803</w:t>
            </w:r>
          </w:p>
        </w:tc>
      </w:tr>
    </w:tbl>
    <w:p w:rsidR="00B2118A" w:rsidRDefault="00B2118A" w:rsidP="00B2118A">
      <w:pPr>
        <w:spacing w:after="0" w:line="240" w:lineRule="auto"/>
        <w:ind w:firstLine="686"/>
        <w:rPr>
          <w:spacing w:val="-6"/>
          <w:sz w:val="21"/>
          <w:u w:val="single"/>
        </w:rPr>
      </w:pPr>
    </w:p>
    <w:p w:rsidR="00B2118A" w:rsidRPr="00B2118A" w:rsidRDefault="00B2118A" w:rsidP="00B2118A">
      <w:pPr>
        <w:suppressAutoHyphens/>
        <w:spacing w:after="0" w:line="240" w:lineRule="auto"/>
        <w:ind w:firstLine="686"/>
        <w:jc w:val="both"/>
        <w:rPr>
          <w:sz w:val="24"/>
          <w:szCs w:val="24"/>
        </w:rPr>
      </w:pPr>
      <w:r w:rsidRPr="00B2118A">
        <w:rPr>
          <w:sz w:val="24"/>
          <w:szCs w:val="24"/>
        </w:rPr>
        <w:t>Riassumendo la gestione caratteristica contribuisce a formare utile per € 7.991.961.-, mentre la differenza rappresenta il saldo della gestione finanziaria e delle poste straordinarie.</w:t>
      </w:r>
    </w:p>
    <w:p w:rsidR="00B2118A" w:rsidRPr="00B2118A" w:rsidRDefault="00B2118A" w:rsidP="00B2118A">
      <w:pPr>
        <w:suppressAutoHyphens/>
        <w:spacing w:after="0" w:line="240" w:lineRule="auto"/>
        <w:ind w:firstLine="686"/>
        <w:jc w:val="both"/>
        <w:rPr>
          <w:sz w:val="24"/>
          <w:szCs w:val="24"/>
        </w:rPr>
      </w:pPr>
      <w:r w:rsidRPr="00B2118A">
        <w:rPr>
          <w:sz w:val="24"/>
          <w:szCs w:val="24"/>
        </w:rPr>
        <w:t>E’ importante sottolineare che nel corso del 2015 si è rilevata una ripresa dell’attività regionale anche dovuta all’effetto sull’intero anno della conclusione dei lavori sul blocco degenze avvenuta nel 2014. Infatti dall’esame del bilancio si evince un incremento nelle prestazioni verso aziende della Regione di € 1.953.451.-.</w:t>
      </w:r>
    </w:p>
    <w:p w:rsidR="00B2118A" w:rsidRPr="00B2118A" w:rsidRDefault="00B2118A" w:rsidP="00B2118A">
      <w:pPr>
        <w:suppressAutoHyphens/>
        <w:spacing w:after="0" w:line="240" w:lineRule="auto"/>
        <w:ind w:firstLine="686"/>
        <w:jc w:val="both"/>
        <w:rPr>
          <w:sz w:val="24"/>
          <w:szCs w:val="24"/>
        </w:rPr>
      </w:pPr>
      <w:r w:rsidRPr="00B2118A">
        <w:rPr>
          <w:sz w:val="24"/>
          <w:szCs w:val="24"/>
        </w:rPr>
        <w:t>Rileva inoltre il finanziamento riconosciuto per la distribuzione diretta dei farmaci che nel 2014 non era previsto e, pur venendo conseguentemente meno la fatturazione diretta, comporta un incremento consistente della voce per € 3.415.249.-.</w:t>
      </w:r>
    </w:p>
    <w:p w:rsidR="00B2118A" w:rsidRPr="00B2118A" w:rsidRDefault="00B2118A" w:rsidP="00B2118A">
      <w:pPr>
        <w:suppressAutoHyphens/>
        <w:spacing w:after="0" w:line="240" w:lineRule="auto"/>
        <w:ind w:firstLine="686"/>
        <w:jc w:val="both"/>
        <w:rPr>
          <w:sz w:val="24"/>
          <w:szCs w:val="24"/>
        </w:rPr>
      </w:pPr>
      <w:r w:rsidRPr="00B2118A">
        <w:rPr>
          <w:sz w:val="24"/>
          <w:szCs w:val="24"/>
        </w:rPr>
        <w:t>Relativamente all’attività extraregionale iscritta nel bilancio 2014 (riferimento attività dell’anno 2012) si registra un incremento complessivo di € 632.465.- che concorre a formare la quota dell’utile 2015. Nel bilancio d’esercizio 2015 è iscritta per vincolo normativo la mobilità extraregionale validata riferita all’attività del 2013.</w:t>
      </w:r>
    </w:p>
    <w:p w:rsidR="00B2118A" w:rsidRPr="00B2118A" w:rsidRDefault="00B2118A" w:rsidP="00B2118A">
      <w:pPr>
        <w:suppressAutoHyphens/>
        <w:spacing w:after="0" w:line="240" w:lineRule="auto"/>
        <w:ind w:firstLine="686"/>
        <w:jc w:val="both"/>
        <w:rPr>
          <w:sz w:val="24"/>
          <w:szCs w:val="24"/>
        </w:rPr>
      </w:pPr>
      <w:r w:rsidRPr="00B2118A">
        <w:rPr>
          <w:sz w:val="24"/>
          <w:szCs w:val="24"/>
        </w:rPr>
        <w:t>E’ importante sottolineare, nel rispetto del principio della competenza economica, che l’attività extraregionale nel 2015 ha registrato un calo - rispetto all’anno 2013 iscritto a bilancio - di oltre € 1.100.000.- pertanto l’effetto sul risultato d’esercizio sarebbe di segno contrario. Questa incongruenza temporale influirà sul bilancio di Previsione dell’esercizio 2017, mentre i costi per la realizzazione di tale attività sono imputati nel bilancio 2015.</w:t>
      </w:r>
    </w:p>
    <w:p w:rsidR="00B2118A" w:rsidRPr="00B2118A" w:rsidRDefault="00B2118A" w:rsidP="00B2118A">
      <w:pPr>
        <w:suppressAutoHyphens/>
        <w:spacing w:after="0" w:line="240" w:lineRule="auto"/>
        <w:ind w:firstLine="686"/>
        <w:jc w:val="both"/>
        <w:rPr>
          <w:sz w:val="24"/>
          <w:szCs w:val="24"/>
        </w:rPr>
      </w:pPr>
      <w:r w:rsidRPr="00B2118A">
        <w:rPr>
          <w:sz w:val="24"/>
          <w:szCs w:val="24"/>
        </w:rPr>
        <w:t>Altro aspetto rilevante è il consistente decremento del costo del personale dovuto a molteplici fattori tra i quali il rinvio/</w:t>
      </w:r>
      <w:proofErr w:type="spellStart"/>
      <w:r w:rsidRPr="00B2118A">
        <w:rPr>
          <w:sz w:val="24"/>
          <w:szCs w:val="24"/>
        </w:rPr>
        <w:t>dilazionamento</w:t>
      </w:r>
      <w:proofErr w:type="spellEnd"/>
      <w:r w:rsidRPr="00B2118A">
        <w:rPr>
          <w:sz w:val="24"/>
          <w:szCs w:val="24"/>
        </w:rPr>
        <w:t xml:space="preserve"> dell’espletazione di procedure concorsuali previste in fase di preventivo e non realizzate per il fisiologico assestamento determinato dal rinnovo della direzione strategica, fatta eccezione per il Direttore Scientifico, e per il rinvio dell’assegnazione delle SOC vacanti visto l’adempimento della predisposizione del nuovo atto aziendale previsto da provvedimenti regionali.</w:t>
      </w:r>
    </w:p>
    <w:p w:rsidR="00B2118A" w:rsidRPr="00B2118A" w:rsidRDefault="00B2118A" w:rsidP="00B2118A">
      <w:pPr>
        <w:suppressAutoHyphens/>
        <w:spacing w:after="0" w:line="240" w:lineRule="auto"/>
        <w:ind w:firstLine="686"/>
        <w:jc w:val="both"/>
        <w:rPr>
          <w:sz w:val="24"/>
          <w:szCs w:val="24"/>
        </w:rPr>
      </w:pPr>
      <w:r w:rsidRPr="00B2118A">
        <w:rPr>
          <w:sz w:val="24"/>
          <w:szCs w:val="24"/>
        </w:rPr>
        <w:t>Per la gestione finanziaria va detto che pur presentando saldo negativo ha incidenza quasi nulla sull’utile d’esercizio in quanto trattasi sostanzialmente degli interessi per il Mutuo stipulato con la Cassa Depositi e Prestiti per la realizzazione del Campus. Tali oneri sono completamente finanziati da un contributo regionale esposto correttamente nell’apposita sezione.</w:t>
      </w:r>
    </w:p>
    <w:p w:rsidR="00B2118A" w:rsidRPr="00B2118A" w:rsidRDefault="00B2118A" w:rsidP="00B2118A">
      <w:pPr>
        <w:spacing w:after="0" w:line="240" w:lineRule="auto"/>
        <w:ind w:firstLine="686"/>
        <w:jc w:val="both"/>
        <w:rPr>
          <w:sz w:val="24"/>
          <w:szCs w:val="24"/>
        </w:rPr>
      </w:pPr>
      <w:r w:rsidRPr="00B2118A">
        <w:rPr>
          <w:sz w:val="24"/>
          <w:szCs w:val="24"/>
        </w:rPr>
        <w:t>La gestione straordinaria è determinata in parte dai Proventi per donazioni e altre liberalità, da altri proventi diversi e per la maggior parte dalle insussistenze del passivo.</w:t>
      </w:r>
    </w:p>
    <w:p w:rsidR="00B2118A" w:rsidRPr="00B2118A" w:rsidRDefault="00B2118A" w:rsidP="00B2118A">
      <w:pPr>
        <w:pStyle w:val="Rientrocorpodeltesto"/>
        <w:ind w:left="0" w:firstLine="686"/>
        <w:rPr>
          <w:rFonts w:asciiTheme="minorHAnsi" w:eastAsiaTheme="minorHAnsi" w:hAnsiTheme="minorHAnsi" w:cstheme="minorBidi"/>
          <w:szCs w:val="24"/>
          <w:lang w:eastAsia="en-US"/>
        </w:rPr>
      </w:pPr>
      <w:r w:rsidRPr="00B2118A">
        <w:rPr>
          <w:rFonts w:asciiTheme="minorHAnsi" w:eastAsiaTheme="minorHAnsi" w:hAnsiTheme="minorHAnsi" w:cstheme="minorBidi"/>
          <w:szCs w:val="24"/>
          <w:lang w:eastAsia="en-US"/>
        </w:rPr>
        <w:lastRenderedPageBreak/>
        <w:t>Le insussistenze del passivo, declinate e descritte dettagliatamente nella nota integrativa a cui si rinvia, sono il risultato della ricognizione straordinaria dello Stato Patrimoniale effettuata nel rispetto del processo di armonizzazione dei bilanci in base alla disciplina prevista dal D.Lgs</w:t>
      </w:r>
      <w:proofErr w:type="spellStart"/>
      <w:r w:rsidRPr="00B2118A">
        <w:rPr>
          <w:rFonts w:asciiTheme="minorHAnsi" w:eastAsiaTheme="minorHAnsi" w:hAnsiTheme="minorHAnsi" w:cstheme="minorBidi"/>
          <w:szCs w:val="24"/>
          <w:lang w:eastAsia="en-US"/>
        </w:rPr>
        <w:t>.118/2</w:t>
      </w:r>
      <w:proofErr w:type="spellEnd"/>
      <w:r w:rsidRPr="00B2118A">
        <w:rPr>
          <w:rFonts w:asciiTheme="minorHAnsi" w:eastAsiaTheme="minorHAnsi" w:hAnsiTheme="minorHAnsi" w:cstheme="minorBidi"/>
          <w:szCs w:val="24"/>
          <w:lang w:eastAsia="en-US"/>
        </w:rPr>
        <w:t xml:space="preserve">011 e come indicato dalla Direzione Centrale Salute. La ricognizione dei debiti con l’evidenza della presenza di una quota insussistente era già stata notificata alla Direzione Centrale con diverse note, tra le quali la nota </w:t>
      </w:r>
      <w:proofErr w:type="spellStart"/>
      <w:r w:rsidRPr="00B2118A">
        <w:rPr>
          <w:rFonts w:asciiTheme="minorHAnsi" w:eastAsiaTheme="minorHAnsi" w:hAnsiTheme="minorHAnsi" w:cstheme="minorBidi"/>
          <w:szCs w:val="24"/>
          <w:lang w:eastAsia="en-US"/>
        </w:rPr>
        <w:t>prot.n</w:t>
      </w:r>
      <w:proofErr w:type="spellEnd"/>
      <w:r w:rsidRPr="00B2118A">
        <w:rPr>
          <w:rFonts w:asciiTheme="minorHAnsi" w:eastAsiaTheme="minorHAnsi" w:hAnsiTheme="minorHAnsi" w:cstheme="minorBidi"/>
          <w:szCs w:val="24"/>
          <w:lang w:eastAsia="en-US"/>
        </w:rPr>
        <w:t xml:space="preserve">.21995/C del 2.12.2006 e da ultimo la nota dell’Ente </w:t>
      </w:r>
      <w:proofErr w:type="spellStart"/>
      <w:r w:rsidRPr="00B2118A">
        <w:rPr>
          <w:rFonts w:asciiTheme="minorHAnsi" w:eastAsiaTheme="minorHAnsi" w:hAnsiTheme="minorHAnsi" w:cstheme="minorBidi"/>
          <w:szCs w:val="24"/>
          <w:lang w:eastAsia="en-US"/>
        </w:rPr>
        <w:t>prot</w:t>
      </w:r>
      <w:proofErr w:type="spellEnd"/>
      <w:r w:rsidRPr="00B2118A">
        <w:rPr>
          <w:rFonts w:asciiTheme="minorHAnsi" w:eastAsiaTheme="minorHAnsi" w:hAnsiTheme="minorHAnsi" w:cstheme="minorBidi"/>
          <w:szCs w:val="24"/>
          <w:lang w:eastAsia="en-US"/>
        </w:rPr>
        <w:t>. 8855/B del 9 giugno 2014 in occasione della ricognizione straordinaria effettuata su tutte le poste dello Stato Patrimoniale al 31.12.2013.</w:t>
      </w:r>
    </w:p>
    <w:p w:rsidR="00B2118A" w:rsidRPr="00B2118A" w:rsidRDefault="00B2118A" w:rsidP="00B2118A">
      <w:pPr>
        <w:pStyle w:val="Rientrocorpodeltesto"/>
        <w:ind w:left="0" w:firstLine="686"/>
        <w:rPr>
          <w:rFonts w:asciiTheme="minorHAnsi" w:eastAsiaTheme="minorHAnsi" w:hAnsiTheme="minorHAnsi" w:cstheme="minorBidi"/>
          <w:szCs w:val="24"/>
          <w:lang w:eastAsia="en-US"/>
        </w:rPr>
      </w:pPr>
      <w:r w:rsidRPr="00B2118A">
        <w:rPr>
          <w:rFonts w:asciiTheme="minorHAnsi" w:eastAsiaTheme="minorHAnsi" w:hAnsiTheme="minorHAnsi" w:cstheme="minorBidi"/>
          <w:szCs w:val="24"/>
          <w:lang w:eastAsia="en-US"/>
        </w:rPr>
        <w:t>L’Istituto con queste operazioni ha determinato i debiti certi e i fondi rischi effettivi nel rispetto delle indicazioni ricevute dalla Direzione Centrale.</w:t>
      </w:r>
    </w:p>
    <w:p w:rsidR="00B2118A" w:rsidRPr="00B2118A" w:rsidRDefault="00B2118A" w:rsidP="00B2118A">
      <w:pPr>
        <w:pStyle w:val="Rientrocorpodeltesto"/>
        <w:ind w:left="0" w:firstLine="686"/>
        <w:rPr>
          <w:rFonts w:asciiTheme="minorHAnsi" w:eastAsiaTheme="minorHAnsi" w:hAnsiTheme="minorHAnsi" w:cstheme="minorBidi"/>
          <w:szCs w:val="24"/>
          <w:lang w:eastAsia="en-US"/>
        </w:rPr>
      </w:pPr>
      <w:r w:rsidRPr="00B2118A">
        <w:rPr>
          <w:rFonts w:asciiTheme="minorHAnsi" w:eastAsiaTheme="minorHAnsi" w:hAnsiTheme="minorHAnsi" w:cstheme="minorBidi"/>
          <w:szCs w:val="24"/>
          <w:lang w:eastAsia="en-US"/>
        </w:rPr>
        <w:t>E’</w:t>
      </w:r>
      <w:r>
        <w:rPr>
          <w:rFonts w:asciiTheme="minorHAnsi" w:eastAsiaTheme="minorHAnsi" w:hAnsiTheme="minorHAnsi" w:cstheme="minorBidi"/>
          <w:szCs w:val="24"/>
          <w:lang w:eastAsia="en-US"/>
        </w:rPr>
        <w:t xml:space="preserve"> </w:t>
      </w:r>
      <w:r w:rsidRPr="00B2118A">
        <w:rPr>
          <w:rFonts w:asciiTheme="minorHAnsi" w:eastAsiaTheme="minorHAnsi" w:hAnsiTheme="minorHAnsi" w:cstheme="minorBidi"/>
          <w:szCs w:val="24"/>
          <w:lang w:eastAsia="en-US"/>
        </w:rPr>
        <w:t>importante evidenziare che la presente posta rappresenta un “una tantum”, una posta eccezionale che pertanto deve essere estrapolata dalle valutazioni sull’attività di assistenza e ricerca dell’Istituto e non può incidere sulla determinazione dei finanziamenti che saranno assegnati all’Istituto nel 2017.</w:t>
      </w:r>
    </w:p>
    <w:p w:rsidR="002B1544" w:rsidRDefault="002B1544" w:rsidP="00B2118A">
      <w:pPr>
        <w:autoSpaceDE w:val="0"/>
        <w:autoSpaceDN w:val="0"/>
        <w:adjustRightInd w:val="0"/>
        <w:spacing w:after="0" w:line="240" w:lineRule="auto"/>
        <w:jc w:val="both"/>
        <w:rPr>
          <w:sz w:val="24"/>
          <w:szCs w:val="24"/>
        </w:rPr>
      </w:pPr>
    </w:p>
    <w:p w:rsidR="0039352F" w:rsidRDefault="0039352F" w:rsidP="00B2118A">
      <w:pPr>
        <w:autoSpaceDE w:val="0"/>
        <w:autoSpaceDN w:val="0"/>
        <w:adjustRightInd w:val="0"/>
        <w:spacing w:after="0" w:line="240" w:lineRule="auto"/>
        <w:jc w:val="both"/>
        <w:rPr>
          <w:sz w:val="24"/>
          <w:szCs w:val="24"/>
        </w:rPr>
      </w:pPr>
    </w:p>
    <w:p w:rsidR="0039352F" w:rsidRPr="00B2118A" w:rsidRDefault="0039352F" w:rsidP="00B2118A">
      <w:pPr>
        <w:autoSpaceDE w:val="0"/>
        <w:autoSpaceDN w:val="0"/>
        <w:adjustRightInd w:val="0"/>
        <w:spacing w:after="0" w:line="240" w:lineRule="auto"/>
        <w:jc w:val="both"/>
        <w:rPr>
          <w:sz w:val="24"/>
          <w:szCs w:val="24"/>
        </w:rPr>
      </w:pPr>
    </w:p>
    <w:p w:rsidR="003F0127" w:rsidRDefault="00D9662C" w:rsidP="00F34174">
      <w:pPr>
        <w:autoSpaceDE w:val="0"/>
        <w:autoSpaceDN w:val="0"/>
        <w:adjustRightInd w:val="0"/>
        <w:spacing w:after="0" w:line="240" w:lineRule="auto"/>
        <w:rPr>
          <w:rFonts w:cs="Times New Roman"/>
          <w:b/>
        </w:rPr>
      </w:pPr>
      <w:r>
        <w:rPr>
          <w:rFonts w:cs="Times New Roman"/>
          <w:b/>
        </w:rPr>
        <w:t>8</w:t>
      </w:r>
      <w:r w:rsidR="0062493F">
        <w:rPr>
          <w:rFonts w:cs="Times New Roman"/>
          <w:b/>
        </w:rPr>
        <w:t>. Indicatori di economicità</w:t>
      </w:r>
    </w:p>
    <w:p w:rsidR="00E85CDD" w:rsidRDefault="00E85CDD" w:rsidP="00F34174">
      <w:pPr>
        <w:autoSpaceDE w:val="0"/>
        <w:autoSpaceDN w:val="0"/>
        <w:adjustRightInd w:val="0"/>
        <w:spacing w:after="0" w:line="240" w:lineRule="auto"/>
        <w:rPr>
          <w:rFonts w:cs="Times New Roman"/>
          <w:b/>
        </w:rPr>
      </w:pPr>
    </w:p>
    <w:p w:rsidR="00B72182" w:rsidRPr="000A061E" w:rsidRDefault="00B72182" w:rsidP="00B72182">
      <w:pPr>
        <w:pStyle w:val="Corpodeltesto"/>
        <w:rPr>
          <w:b/>
          <w:spacing w:val="-6"/>
          <w:u w:val="single"/>
        </w:rPr>
      </w:pPr>
      <w:r w:rsidRPr="000A061E">
        <w:rPr>
          <w:b/>
          <w:spacing w:val="-6"/>
          <w:u w:val="single"/>
        </w:rPr>
        <w:t>Rapporto percentuale tra totale dei costi della produzione e totale ricavi dell’Ente</w:t>
      </w:r>
    </w:p>
    <w:p w:rsidR="00B72182" w:rsidRPr="000A061E" w:rsidRDefault="00B72182" w:rsidP="005823B7">
      <w:pPr>
        <w:pStyle w:val="Corpodeltesto"/>
        <w:spacing w:after="0" w:line="240" w:lineRule="auto"/>
        <w:rPr>
          <w:spacing w:val="-6"/>
        </w:rPr>
      </w:pPr>
      <w:r w:rsidRPr="000A061E">
        <w:rPr>
          <w:spacing w:val="-6"/>
        </w:rPr>
        <w:t>Rapporto: Costi della produzione/Totale ricavi</w:t>
      </w:r>
    </w:p>
    <w:p w:rsidR="00B72182" w:rsidRPr="000A061E" w:rsidRDefault="00B72182" w:rsidP="005823B7">
      <w:pPr>
        <w:pStyle w:val="Corpodeltesto"/>
        <w:spacing w:after="0" w:line="240" w:lineRule="auto"/>
        <w:ind w:right="-1"/>
        <w:rPr>
          <w:spacing w:val="-6"/>
        </w:rPr>
      </w:pPr>
      <w:r w:rsidRPr="000A061E">
        <w:rPr>
          <w:spacing w:val="-6"/>
        </w:rPr>
        <w:t>Rappresenta il costo percentuale dell’attività caratteristica dell’Ente rispetto al totale dei ricavi.</w:t>
      </w:r>
    </w:p>
    <w:p w:rsidR="00B72182" w:rsidRPr="000A061E" w:rsidRDefault="00B72182" w:rsidP="005823B7">
      <w:pPr>
        <w:pStyle w:val="Corpodeltesto"/>
        <w:spacing w:after="0" w:line="240" w:lineRule="auto"/>
        <w:ind w:right="-1"/>
        <w:rPr>
          <w:spacing w:val="-6"/>
        </w:rPr>
      </w:pPr>
      <w:r w:rsidRPr="000A061E">
        <w:rPr>
          <w:spacing w:val="-6"/>
        </w:rPr>
        <w:t>Parametro di riferimento: inferiore al 100%</w:t>
      </w:r>
    </w:p>
    <w:tbl>
      <w:tblPr>
        <w:tblW w:w="8647" w:type="dxa"/>
        <w:tblInd w:w="6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614"/>
        <w:gridCol w:w="2516"/>
        <w:gridCol w:w="2517"/>
      </w:tblGrid>
      <w:tr w:rsidR="00B72182" w:rsidRPr="00010FB7" w:rsidTr="00B72182">
        <w:tc>
          <w:tcPr>
            <w:tcW w:w="3614" w:type="dxa"/>
            <w:tcBorders>
              <w:top w:val="nil"/>
              <w:left w:val="nil"/>
              <w:bottom w:val="nil"/>
              <w:right w:val="nil"/>
            </w:tcBorders>
          </w:tcPr>
          <w:p w:rsidR="00B72182" w:rsidRPr="00010FB7" w:rsidRDefault="00B72182" w:rsidP="00B72182">
            <w:pPr>
              <w:pStyle w:val="Corpodeltesto"/>
              <w:ind w:right="-1"/>
              <w:rPr>
                <w:spacing w:val="-6"/>
              </w:rPr>
            </w:pPr>
          </w:p>
        </w:tc>
        <w:tc>
          <w:tcPr>
            <w:tcW w:w="2516" w:type="dxa"/>
            <w:tcBorders>
              <w:top w:val="single" w:sz="4" w:space="0" w:color="auto"/>
              <w:left w:val="single" w:sz="4" w:space="0" w:color="auto"/>
              <w:bottom w:val="single" w:sz="4" w:space="0" w:color="auto"/>
              <w:right w:val="single" w:sz="4" w:space="0" w:color="auto"/>
            </w:tcBorders>
          </w:tcPr>
          <w:p w:rsidR="00B72182" w:rsidRPr="00010FB7" w:rsidRDefault="00B72182" w:rsidP="00B72182">
            <w:pPr>
              <w:pStyle w:val="Corpodeltesto"/>
              <w:ind w:right="-1"/>
              <w:jc w:val="center"/>
              <w:rPr>
                <w:spacing w:val="-6"/>
              </w:rPr>
            </w:pPr>
            <w:r w:rsidRPr="00010FB7">
              <w:rPr>
                <w:spacing w:val="-6"/>
              </w:rPr>
              <w:t>31 dicembre 2014</w:t>
            </w:r>
          </w:p>
        </w:tc>
        <w:tc>
          <w:tcPr>
            <w:tcW w:w="2517" w:type="dxa"/>
            <w:tcBorders>
              <w:top w:val="single" w:sz="4" w:space="0" w:color="auto"/>
              <w:left w:val="single" w:sz="4" w:space="0" w:color="auto"/>
              <w:bottom w:val="single" w:sz="4" w:space="0" w:color="auto"/>
              <w:right w:val="single" w:sz="4" w:space="0" w:color="auto"/>
            </w:tcBorders>
          </w:tcPr>
          <w:p w:rsidR="00B72182" w:rsidRPr="00010FB7" w:rsidRDefault="00B72182" w:rsidP="00B72182">
            <w:pPr>
              <w:pStyle w:val="Corpodeltesto"/>
              <w:ind w:right="-1"/>
              <w:jc w:val="center"/>
              <w:rPr>
                <w:spacing w:val="-6"/>
              </w:rPr>
            </w:pPr>
            <w:r w:rsidRPr="00010FB7">
              <w:rPr>
                <w:spacing w:val="-6"/>
              </w:rPr>
              <w:t>31 dicembre 2015</w:t>
            </w:r>
          </w:p>
        </w:tc>
      </w:tr>
      <w:tr w:rsidR="00B72182" w:rsidRPr="00010FB7" w:rsidTr="00B72182">
        <w:tc>
          <w:tcPr>
            <w:tcW w:w="3614" w:type="dxa"/>
            <w:tcBorders>
              <w:top w:val="single" w:sz="4" w:space="0" w:color="auto"/>
              <w:left w:val="single" w:sz="4" w:space="0" w:color="auto"/>
              <w:bottom w:val="single" w:sz="4" w:space="0" w:color="auto"/>
              <w:right w:val="single" w:sz="4" w:space="0" w:color="auto"/>
            </w:tcBorders>
          </w:tcPr>
          <w:p w:rsidR="00B72182" w:rsidRPr="00010FB7" w:rsidRDefault="00B72182" w:rsidP="00B72182">
            <w:pPr>
              <w:pStyle w:val="Corpodeltesto"/>
              <w:ind w:right="-1"/>
              <w:rPr>
                <w:spacing w:val="-6"/>
              </w:rPr>
            </w:pPr>
            <w:r w:rsidRPr="00010FB7">
              <w:rPr>
                <w:spacing w:val="-6"/>
              </w:rPr>
              <w:t>Costi della produzione</w:t>
            </w:r>
          </w:p>
        </w:tc>
        <w:tc>
          <w:tcPr>
            <w:tcW w:w="2516" w:type="dxa"/>
            <w:tcBorders>
              <w:top w:val="single" w:sz="4" w:space="0" w:color="auto"/>
              <w:left w:val="single" w:sz="4" w:space="0" w:color="auto"/>
              <w:bottom w:val="single" w:sz="4" w:space="0" w:color="auto"/>
              <w:right w:val="single" w:sz="4" w:space="0" w:color="auto"/>
            </w:tcBorders>
          </w:tcPr>
          <w:p w:rsidR="00B72182" w:rsidRPr="00010FB7" w:rsidRDefault="00B72182" w:rsidP="00B72182">
            <w:pPr>
              <w:pStyle w:val="Corpodeltesto"/>
              <w:ind w:right="-1"/>
              <w:jc w:val="center"/>
              <w:rPr>
                <w:spacing w:val="-6"/>
              </w:rPr>
            </w:pPr>
            <w:r w:rsidRPr="00010FB7">
              <w:rPr>
                <w:spacing w:val="-6"/>
              </w:rPr>
              <w:t xml:space="preserve"> 86.308.430</w:t>
            </w:r>
          </w:p>
        </w:tc>
        <w:tc>
          <w:tcPr>
            <w:tcW w:w="2517" w:type="dxa"/>
            <w:tcBorders>
              <w:top w:val="single" w:sz="4" w:space="0" w:color="auto"/>
              <w:left w:val="single" w:sz="4" w:space="0" w:color="auto"/>
              <w:bottom w:val="single" w:sz="4" w:space="0" w:color="auto"/>
              <w:right w:val="single" w:sz="4" w:space="0" w:color="auto"/>
            </w:tcBorders>
          </w:tcPr>
          <w:p w:rsidR="00B72182" w:rsidRPr="00472D9A" w:rsidRDefault="00B72182" w:rsidP="00B72182">
            <w:pPr>
              <w:pStyle w:val="Corpodeltesto"/>
              <w:ind w:right="-1"/>
              <w:jc w:val="center"/>
              <w:rPr>
                <w:spacing w:val="-6"/>
              </w:rPr>
            </w:pPr>
            <w:r w:rsidRPr="00472D9A">
              <w:rPr>
                <w:spacing w:val="-6"/>
              </w:rPr>
              <w:t xml:space="preserve"> 93.326.988</w:t>
            </w:r>
          </w:p>
        </w:tc>
      </w:tr>
      <w:tr w:rsidR="00B72182" w:rsidRPr="00010FB7" w:rsidTr="00B72182">
        <w:tc>
          <w:tcPr>
            <w:tcW w:w="3614" w:type="dxa"/>
            <w:tcBorders>
              <w:top w:val="single" w:sz="4" w:space="0" w:color="auto"/>
              <w:left w:val="single" w:sz="4" w:space="0" w:color="auto"/>
              <w:bottom w:val="single" w:sz="4" w:space="0" w:color="auto"/>
              <w:right w:val="single" w:sz="4" w:space="0" w:color="auto"/>
            </w:tcBorders>
          </w:tcPr>
          <w:p w:rsidR="00B72182" w:rsidRPr="00010FB7" w:rsidRDefault="00B72182" w:rsidP="00B72182">
            <w:pPr>
              <w:pStyle w:val="Corpodeltesto"/>
              <w:ind w:right="-1"/>
              <w:rPr>
                <w:spacing w:val="-6"/>
              </w:rPr>
            </w:pPr>
            <w:r w:rsidRPr="00010FB7">
              <w:rPr>
                <w:spacing w:val="-6"/>
              </w:rPr>
              <w:t>Totale ricavi</w:t>
            </w:r>
          </w:p>
        </w:tc>
        <w:tc>
          <w:tcPr>
            <w:tcW w:w="2516" w:type="dxa"/>
            <w:tcBorders>
              <w:top w:val="single" w:sz="4" w:space="0" w:color="auto"/>
              <w:left w:val="single" w:sz="4" w:space="0" w:color="auto"/>
              <w:bottom w:val="single" w:sz="4" w:space="0" w:color="auto"/>
              <w:right w:val="single" w:sz="4" w:space="0" w:color="auto"/>
            </w:tcBorders>
          </w:tcPr>
          <w:p w:rsidR="00B72182" w:rsidRPr="00010FB7" w:rsidRDefault="00B72182" w:rsidP="00B72182">
            <w:pPr>
              <w:pStyle w:val="Corpodeltesto"/>
              <w:ind w:right="-1"/>
              <w:jc w:val="center"/>
              <w:rPr>
                <w:spacing w:val="-6"/>
              </w:rPr>
            </w:pPr>
            <w:r w:rsidRPr="00010FB7">
              <w:rPr>
                <w:spacing w:val="-6"/>
              </w:rPr>
              <w:t xml:space="preserve"> 92.490.968</w:t>
            </w:r>
          </w:p>
        </w:tc>
        <w:tc>
          <w:tcPr>
            <w:tcW w:w="2517" w:type="dxa"/>
            <w:tcBorders>
              <w:top w:val="single" w:sz="4" w:space="0" w:color="auto"/>
              <w:left w:val="single" w:sz="4" w:space="0" w:color="auto"/>
              <w:bottom w:val="single" w:sz="4" w:space="0" w:color="auto"/>
              <w:right w:val="single" w:sz="4" w:space="0" w:color="auto"/>
            </w:tcBorders>
          </w:tcPr>
          <w:p w:rsidR="00B72182" w:rsidRPr="002B4991" w:rsidRDefault="00B72182" w:rsidP="00B72182">
            <w:pPr>
              <w:pStyle w:val="Corpodeltesto"/>
              <w:ind w:right="-1"/>
              <w:jc w:val="center"/>
              <w:rPr>
                <w:spacing w:val="-6"/>
              </w:rPr>
            </w:pPr>
            <w:r w:rsidRPr="002B4991">
              <w:rPr>
                <w:spacing w:val="-6"/>
              </w:rPr>
              <w:t xml:space="preserve"> 109.571.795</w:t>
            </w:r>
          </w:p>
        </w:tc>
      </w:tr>
      <w:tr w:rsidR="00B72182" w:rsidRPr="00010FB7" w:rsidTr="00B72182">
        <w:tc>
          <w:tcPr>
            <w:tcW w:w="3614" w:type="dxa"/>
            <w:tcBorders>
              <w:top w:val="single" w:sz="4" w:space="0" w:color="auto"/>
              <w:left w:val="nil"/>
              <w:bottom w:val="nil"/>
              <w:right w:val="nil"/>
            </w:tcBorders>
          </w:tcPr>
          <w:p w:rsidR="00B72182" w:rsidRPr="00010FB7" w:rsidRDefault="00B72182" w:rsidP="00B72182">
            <w:pPr>
              <w:pStyle w:val="Corpodeltesto"/>
              <w:ind w:right="-1"/>
              <w:rPr>
                <w:spacing w:val="-6"/>
              </w:rPr>
            </w:pPr>
            <w:proofErr w:type="spellStart"/>
            <w:r w:rsidRPr="00010FB7">
              <w:rPr>
                <w:b/>
                <w:spacing w:val="-6"/>
              </w:rPr>
              <w:t>C.R.O.</w:t>
            </w:r>
            <w:proofErr w:type="spellEnd"/>
          </w:p>
        </w:tc>
        <w:tc>
          <w:tcPr>
            <w:tcW w:w="2516" w:type="dxa"/>
            <w:tcBorders>
              <w:top w:val="single" w:sz="4" w:space="0" w:color="auto"/>
              <w:left w:val="nil"/>
              <w:bottom w:val="nil"/>
              <w:right w:val="nil"/>
            </w:tcBorders>
          </w:tcPr>
          <w:p w:rsidR="00B72182" w:rsidRPr="00010FB7" w:rsidRDefault="00B72182" w:rsidP="00B72182">
            <w:pPr>
              <w:pStyle w:val="Corpodeltesto"/>
              <w:ind w:right="-1"/>
              <w:jc w:val="center"/>
              <w:rPr>
                <w:b/>
                <w:spacing w:val="-6"/>
              </w:rPr>
            </w:pPr>
            <w:r w:rsidRPr="00010FB7">
              <w:rPr>
                <w:b/>
                <w:spacing w:val="-6"/>
              </w:rPr>
              <w:t>93,32%</w:t>
            </w:r>
          </w:p>
        </w:tc>
        <w:tc>
          <w:tcPr>
            <w:tcW w:w="2517" w:type="dxa"/>
            <w:tcBorders>
              <w:top w:val="single" w:sz="4" w:space="0" w:color="auto"/>
              <w:left w:val="nil"/>
              <w:bottom w:val="nil"/>
              <w:right w:val="nil"/>
            </w:tcBorders>
          </w:tcPr>
          <w:p w:rsidR="00B72182" w:rsidRPr="002B4991" w:rsidRDefault="00B72182" w:rsidP="00B72182">
            <w:pPr>
              <w:pStyle w:val="Corpodeltesto"/>
              <w:ind w:right="-1"/>
              <w:jc w:val="center"/>
              <w:rPr>
                <w:b/>
                <w:spacing w:val="-6"/>
              </w:rPr>
            </w:pPr>
            <w:r w:rsidRPr="002B4991">
              <w:rPr>
                <w:b/>
                <w:spacing w:val="-6"/>
              </w:rPr>
              <w:t>85,17%</w:t>
            </w:r>
          </w:p>
        </w:tc>
      </w:tr>
    </w:tbl>
    <w:p w:rsidR="00B72182" w:rsidRPr="00A3576D" w:rsidRDefault="00B72182" w:rsidP="00B72182">
      <w:pPr>
        <w:pStyle w:val="Corpodeltesto"/>
        <w:ind w:right="-1"/>
        <w:rPr>
          <w:spacing w:val="-6"/>
          <w:sz w:val="20"/>
        </w:rPr>
      </w:pPr>
    </w:p>
    <w:p w:rsidR="00B72182" w:rsidRPr="00A3576D" w:rsidRDefault="00B72182" w:rsidP="00B72182">
      <w:pPr>
        <w:pStyle w:val="Corpodeltesto"/>
        <w:ind w:right="-710"/>
        <w:rPr>
          <w:b/>
          <w:spacing w:val="-6"/>
          <w:u w:val="single"/>
        </w:rPr>
      </w:pPr>
      <w:r w:rsidRPr="00A3576D">
        <w:rPr>
          <w:b/>
          <w:spacing w:val="-6"/>
          <w:u w:val="single"/>
        </w:rPr>
        <w:t>Rapporto percentuale tra il costo del personale ed il totale dei ricavi dell’Ente</w:t>
      </w:r>
    </w:p>
    <w:p w:rsidR="00B72182" w:rsidRPr="00A3576D" w:rsidRDefault="00B72182" w:rsidP="005823B7">
      <w:pPr>
        <w:pStyle w:val="Corpodeltesto"/>
        <w:spacing w:after="0" w:line="240" w:lineRule="auto"/>
        <w:rPr>
          <w:spacing w:val="-6"/>
        </w:rPr>
      </w:pPr>
      <w:r w:rsidRPr="00A3576D">
        <w:rPr>
          <w:spacing w:val="-6"/>
        </w:rPr>
        <w:t>Rapporto: Totale costo del personale (tutte le qualifiche)/Totale ricavi</w:t>
      </w:r>
    </w:p>
    <w:p w:rsidR="00B72182" w:rsidRPr="00A3576D" w:rsidRDefault="00B72182" w:rsidP="005823B7">
      <w:pPr>
        <w:pStyle w:val="Corpodeltesto"/>
        <w:spacing w:after="0" w:line="240" w:lineRule="auto"/>
        <w:ind w:right="-1"/>
        <w:rPr>
          <w:spacing w:val="-6"/>
        </w:rPr>
      </w:pPr>
      <w:r w:rsidRPr="00A3576D">
        <w:rPr>
          <w:spacing w:val="-6"/>
        </w:rPr>
        <w:t>Rappresenta l’incidenza del costo del personale sul totale ricavi dell’Ente.</w:t>
      </w:r>
    </w:p>
    <w:p w:rsidR="00B72182" w:rsidRPr="00A3576D" w:rsidRDefault="00B72182" w:rsidP="005823B7">
      <w:pPr>
        <w:pStyle w:val="Corpodeltesto"/>
        <w:spacing w:after="0" w:line="240" w:lineRule="auto"/>
        <w:ind w:right="-1"/>
        <w:rPr>
          <w:spacing w:val="-6"/>
        </w:rPr>
      </w:pPr>
      <w:r w:rsidRPr="00A3576D">
        <w:rPr>
          <w:spacing w:val="-6"/>
        </w:rPr>
        <w:t>Parametro di riferimento: inferiore all’80%</w:t>
      </w:r>
    </w:p>
    <w:p w:rsidR="00B72182" w:rsidRPr="00A3576D" w:rsidRDefault="00B72182" w:rsidP="00B72182">
      <w:pPr>
        <w:pStyle w:val="Corpodeltesto"/>
        <w:ind w:right="-1"/>
        <w:rPr>
          <w:spacing w:val="-6"/>
        </w:rPr>
      </w:pPr>
    </w:p>
    <w:tbl>
      <w:tblPr>
        <w:tblW w:w="8647" w:type="dxa"/>
        <w:tblInd w:w="6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614"/>
        <w:gridCol w:w="2482"/>
        <w:gridCol w:w="2551"/>
      </w:tblGrid>
      <w:tr w:rsidR="00B72182" w:rsidRPr="00010FB7" w:rsidTr="00B72182">
        <w:tc>
          <w:tcPr>
            <w:tcW w:w="3614" w:type="dxa"/>
            <w:tcBorders>
              <w:top w:val="nil"/>
              <w:left w:val="nil"/>
              <w:bottom w:val="nil"/>
              <w:right w:val="nil"/>
            </w:tcBorders>
          </w:tcPr>
          <w:p w:rsidR="00B72182" w:rsidRPr="00010FB7" w:rsidRDefault="00B72182" w:rsidP="00B72182">
            <w:pPr>
              <w:pStyle w:val="Corpodeltesto"/>
              <w:ind w:right="-1"/>
              <w:rPr>
                <w:spacing w:val="-6"/>
              </w:rPr>
            </w:pPr>
          </w:p>
        </w:tc>
        <w:tc>
          <w:tcPr>
            <w:tcW w:w="2482" w:type="dxa"/>
            <w:tcBorders>
              <w:top w:val="single" w:sz="4" w:space="0" w:color="auto"/>
              <w:left w:val="single" w:sz="4" w:space="0" w:color="auto"/>
              <w:bottom w:val="single" w:sz="4" w:space="0" w:color="auto"/>
              <w:right w:val="single" w:sz="4" w:space="0" w:color="auto"/>
            </w:tcBorders>
          </w:tcPr>
          <w:p w:rsidR="00B72182" w:rsidRPr="00010FB7" w:rsidRDefault="00B72182" w:rsidP="00B72182">
            <w:pPr>
              <w:pStyle w:val="Corpodeltesto"/>
              <w:ind w:right="-1"/>
              <w:jc w:val="center"/>
              <w:rPr>
                <w:spacing w:val="-6"/>
              </w:rPr>
            </w:pPr>
            <w:r w:rsidRPr="00010FB7">
              <w:rPr>
                <w:spacing w:val="-6"/>
              </w:rPr>
              <w:t>31 dicembre 2014</w:t>
            </w:r>
          </w:p>
        </w:tc>
        <w:tc>
          <w:tcPr>
            <w:tcW w:w="2551" w:type="dxa"/>
            <w:tcBorders>
              <w:top w:val="single" w:sz="4" w:space="0" w:color="auto"/>
              <w:left w:val="single" w:sz="4" w:space="0" w:color="auto"/>
              <w:bottom w:val="single" w:sz="4" w:space="0" w:color="auto"/>
              <w:right w:val="single" w:sz="4" w:space="0" w:color="auto"/>
            </w:tcBorders>
          </w:tcPr>
          <w:p w:rsidR="00B72182" w:rsidRPr="00010FB7" w:rsidRDefault="00B72182" w:rsidP="00B72182">
            <w:pPr>
              <w:pStyle w:val="Corpodeltesto"/>
              <w:ind w:right="-1"/>
              <w:jc w:val="center"/>
              <w:rPr>
                <w:spacing w:val="-6"/>
              </w:rPr>
            </w:pPr>
            <w:r w:rsidRPr="00010FB7">
              <w:rPr>
                <w:spacing w:val="-6"/>
              </w:rPr>
              <w:t>31 dicembre 2015</w:t>
            </w:r>
            <w:r>
              <w:rPr>
                <w:spacing w:val="-6"/>
              </w:rPr>
              <w:t>*)</w:t>
            </w:r>
          </w:p>
        </w:tc>
      </w:tr>
      <w:tr w:rsidR="00B72182" w:rsidRPr="00010FB7" w:rsidTr="00B72182">
        <w:tc>
          <w:tcPr>
            <w:tcW w:w="3614" w:type="dxa"/>
            <w:tcBorders>
              <w:top w:val="single" w:sz="4" w:space="0" w:color="auto"/>
              <w:left w:val="single" w:sz="4" w:space="0" w:color="auto"/>
              <w:bottom w:val="single" w:sz="4" w:space="0" w:color="auto"/>
              <w:right w:val="single" w:sz="4" w:space="0" w:color="auto"/>
            </w:tcBorders>
          </w:tcPr>
          <w:p w:rsidR="00B72182" w:rsidRPr="00010FB7" w:rsidRDefault="00B72182" w:rsidP="00B72182">
            <w:pPr>
              <w:pStyle w:val="Corpodeltesto"/>
              <w:ind w:right="-1"/>
              <w:rPr>
                <w:spacing w:val="-6"/>
              </w:rPr>
            </w:pPr>
            <w:r w:rsidRPr="00010FB7">
              <w:rPr>
                <w:spacing w:val="-6"/>
              </w:rPr>
              <w:t>Totale costo del personale</w:t>
            </w:r>
          </w:p>
        </w:tc>
        <w:tc>
          <w:tcPr>
            <w:tcW w:w="2482" w:type="dxa"/>
            <w:tcBorders>
              <w:top w:val="single" w:sz="4" w:space="0" w:color="auto"/>
              <w:left w:val="single" w:sz="4" w:space="0" w:color="auto"/>
              <w:bottom w:val="single" w:sz="4" w:space="0" w:color="auto"/>
              <w:right w:val="single" w:sz="4" w:space="0" w:color="auto"/>
            </w:tcBorders>
          </w:tcPr>
          <w:p w:rsidR="00B72182" w:rsidRPr="00010FB7" w:rsidRDefault="00B72182" w:rsidP="00B72182">
            <w:pPr>
              <w:pStyle w:val="Corpodeltesto"/>
              <w:ind w:right="-1"/>
              <w:jc w:val="center"/>
              <w:rPr>
                <w:spacing w:val="-6"/>
              </w:rPr>
            </w:pPr>
            <w:r w:rsidRPr="00010FB7">
              <w:rPr>
                <w:spacing w:val="-6"/>
              </w:rPr>
              <w:t xml:space="preserve"> 39.560.648</w:t>
            </w:r>
          </w:p>
        </w:tc>
        <w:tc>
          <w:tcPr>
            <w:tcW w:w="2551" w:type="dxa"/>
            <w:tcBorders>
              <w:top w:val="single" w:sz="4" w:space="0" w:color="auto"/>
              <w:left w:val="single" w:sz="4" w:space="0" w:color="auto"/>
              <w:bottom w:val="single" w:sz="4" w:space="0" w:color="auto"/>
              <w:right w:val="single" w:sz="4" w:space="0" w:color="auto"/>
            </w:tcBorders>
          </w:tcPr>
          <w:p w:rsidR="00B72182" w:rsidRPr="00472D9A" w:rsidRDefault="00B72182" w:rsidP="00B72182">
            <w:pPr>
              <w:pStyle w:val="Corpodeltesto"/>
              <w:ind w:right="-1"/>
              <w:jc w:val="center"/>
              <w:rPr>
                <w:spacing w:val="-6"/>
              </w:rPr>
            </w:pPr>
            <w:r w:rsidRPr="00472D9A">
              <w:rPr>
                <w:spacing w:val="-6"/>
              </w:rPr>
              <w:t xml:space="preserve"> 30.976.795</w:t>
            </w:r>
          </w:p>
        </w:tc>
      </w:tr>
      <w:tr w:rsidR="00B72182" w:rsidRPr="00010FB7" w:rsidTr="00B72182">
        <w:tc>
          <w:tcPr>
            <w:tcW w:w="3614" w:type="dxa"/>
            <w:tcBorders>
              <w:top w:val="single" w:sz="4" w:space="0" w:color="auto"/>
              <w:left w:val="single" w:sz="4" w:space="0" w:color="auto"/>
              <w:bottom w:val="single" w:sz="4" w:space="0" w:color="auto"/>
              <w:right w:val="single" w:sz="4" w:space="0" w:color="auto"/>
            </w:tcBorders>
          </w:tcPr>
          <w:p w:rsidR="00B72182" w:rsidRPr="00010FB7" w:rsidRDefault="00B72182" w:rsidP="00B72182">
            <w:pPr>
              <w:pStyle w:val="Corpodeltesto"/>
              <w:ind w:right="-1"/>
              <w:rPr>
                <w:spacing w:val="-6"/>
              </w:rPr>
            </w:pPr>
            <w:r w:rsidRPr="00010FB7">
              <w:rPr>
                <w:spacing w:val="-6"/>
              </w:rPr>
              <w:t>Totale ricavi</w:t>
            </w:r>
          </w:p>
        </w:tc>
        <w:tc>
          <w:tcPr>
            <w:tcW w:w="2482" w:type="dxa"/>
            <w:tcBorders>
              <w:top w:val="single" w:sz="4" w:space="0" w:color="auto"/>
              <w:left w:val="single" w:sz="4" w:space="0" w:color="auto"/>
              <w:bottom w:val="single" w:sz="4" w:space="0" w:color="auto"/>
              <w:right w:val="single" w:sz="4" w:space="0" w:color="auto"/>
            </w:tcBorders>
          </w:tcPr>
          <w:p w:rsidR="00B72182" w:rsidRPr="00010FB7" w:rsidRDefault="00B72182" w:rsidP="00B72182">
            <w:pPr>
              <w:pStyle w:val="Corpodeltesto"/>
              <w:ind w:right="-1"/>
              <w:jc w:val="center"/>
              <w:rPr>
                <w:spacing w:val="-6"/>
              </w:rPr>
            </w:pPr>
            <w:r w:rsidRPr="00010FB7">
              <w:rPr>
                <w:spacing w:val="-6"/>
              </w:rPr>
              <w:t>92.490.968</w:t>
            </w:r>
          </w:p>
        </w:tc>
        <w:tc>
          <w:tcPr>
            <w:tcW w:w="2551" w:type="dxa"/>
            <w:tcBorders>
              <w:top w:val="single" w:sz="4" w:space="0" w:color="auto"/>
              <w:left w:val="single" w:sz="4" w:space="0" w:color="auto"/>
              <w:bottom w:val="single" w:sz="4" w:space="0" w:color="auto"/>
              <w:right w:val="single" w:sz="4" w:space="0" w:color="auto"/>
            </w:tcBorders>
          </w:tcPr>
          <w:p w:rsidR="00B72182" w:rsidRPr="002B4991" w:rsidRDefault="00B72182" w:rsidP="00B72182">
            <w:pPr>
              <w:pStyle w:val="Corpodeltesto"/>
              <w:ind w:right="-1"/>
              <w:jc w:val="center"/>
              <w:rPr>
                <w:spacing w:val="-6"/>
              </w:rPr>
            </w:pPr>
            <w:r w:rsidRPr="002B4991">
              <w:rPr>
                <w:spacing w:val="-6"/>
              </w:rPr>
              <w:t>109.571.795</w:t>
            </w:r>
          </w:p>
        </w:tc>
      </w:tr>
      <w:tr w:rsidR="00B72182" w:rsidRPr="00010FB7" w:rsidTr="00B72182">
        <w:tc>
          <w:tcPr>
            <w:tcW w:w="3614" w:type="dxa"/>
            <w:tcBorders>
              <w:top w:val="single" w:sz="4" w:space="0" w:color="auto"/>
              <w:left w:val="nil"/>
              <w:bottom w:val="nil"/>
              <w:right w:val="nil"/>
            </w:tcBorders>
          </w:tcPr>
          <w:p w:rsidR="00B72182" w:rsidRPr="00010FB7" w:rsidRDefault="00B72182" w:rsidP="00B72182">
            <w:pPr>
              <w:pStyle w:val="Corpodeltesto"/>
              <w:ind w:right="-1"/>
              <w:rPr>
                <w:spacing w:val="-6"/>
              </w:rPr>
            </w:pPr>
            <w:proofErr w:type="spellStart"/>
            <w:r w:rsidRPr="00010FB7">
              <w:rPr>
                <w:b/>
                <w:spacing w:val="-6"/>
              </w:rPr>
              <w:t>C.R.O.</w:t>
            </w:r>
            <w:proofErr w:type="spellEnd"/>
          </w:p>
        </w:tc>
        <w:tc>
          <w:tcPr>
            <w:tcW w:w="2482" w:type="dxa"/>
            <w:tcBorders>
              <w:top w:val="single" w:sz="4" w:space="0" w:color="auto"/>
              <w:left w:val="nil"/>
              <w:bottom w:val="nil"/>
              <w:right w:val="nil"/>
            </w:tcBorders>
          </w:tcPr>
          <w:p w:rsidR="00B72182" w:rsidRPr="00010FB7" w:rsidRDefault="00B72182" w:rsidP="00B72182">
            <w:pPr>
              <w:pStyle w:val="Corpodeltesto"/>
              <w:ind w:right="-1"/>
              <w:jc w:val="center"/>
              <w:rPr>
                <w:b/>
                <w:spacing w:val="-6"/>
              </w:rPr>
            </w:pPr>
            <w:r w:rsidRPr="00010FB7">
              <w:rPr>
                <w:b/>
                <w:spacing w:val="-6"/>
              </w:rPr>
              <w:t>42,77%</w:t>
            </w:r>
          </w:p>
        </w:tc>
        <w:tc>
          <w:tcPr>
            <w:tcW w:w="2551" w:type="dxa"/>
            <w:tcBorders>
              <w:top w:val="single" w:sz="4" w:space="0" w:color="auto"/>
              <w:left w:val="nil"/>
              <w:bottom w:val="nil"/>
              <w:right w:val="nil"/>
            </w:tcBorders>
          </w:tcPr>
          <w:p w:rsidR="00B72182" w:rsidRPr="002B4991" w:rsidRDefault="00B72182" w:rsidP="00B72182">
            <w:pPr>
              <w:pStyle w:val="Corpodeltesto"/>
              <w:ind w:right="-1"/>
              <w:jc w:val="center"/>
              <w:rPr>
                <w:b/>
                <w:spacing w:val="-6"/>
              </w:rPr>
            </w:pPr>
            <w:r w:rsidRPr="002B4991">
              <w:rPr>
                <w:b/>
                <w:spacing w:val="-6"/>
              </w:rPr>
              <w:t>28,27%</w:t>
            </w:r>
          </w:p>
        </w:tc>
      </w:tr>
    </w:tbl>
    <w:p w:rsidR="00B72182" w:rsidRPr="00A3576D" w:rsidRDefault="00B72182" w:rsidP="00B72182">
      <w:pPr>
        <w:pStyle w:val="Corpodeltesto"/>
        <w:ind w:right="-1"/>
        <w:rPr>
          <w:spacing w:val="-6"/>
          <w:sz w:val="20"/>
        </w:rPr>
      </w:pPr>
      <w:r>
        <w:rPr>
          <w:spacing w:val="-6"/>
          <w:sz w:val="20"/>
        </w:rPr>
        <w:t>*) costo del personale: 2014 comprende tutte le collaborazioni, il 2015 è solo il personale a ruolo</w:t>
      </w:r>
    </w:p>
    <w:p w:rsidR="00B72182" w:rsidRDefault="00B72182" w:rsidP="00B72182">
      <w:pPr>
        <w:pStyle w:val="Corpodeltesto"/>
        <w:ind w:right="-1"/>
        <w:rPr>
          <w:spacing w:val="-6"/>
          <w:sz w:val="20"/>
        </w:rPr>
      </w:pPr>
    </w:p>
    <w:p w:rsidR="0039352F" w:rsidRDefault="0039352F" w:rsidP="00B72182">
      <w:pPr>
        <w:pStyle w:val="Corpodeltesto"/>
        <w:ind w:right="-1"/>
        <w:rPr>
          <w:spacing w:val="-6"/>
          <w:sz w:val="20"/>
        </w:rPr>
      </w:pPr>
    </w:p>
    <w:p w:rsidR="0039352F" w:rsidRPr="00A3576D" w:rsidRDefault="0039352F" w:rsidP="00B72182">
      <w:pPr>
        <w:pStyle w:val="Corpodeltesto"/>
        <w:ind w:right="-1"/>
        <w:rPr>
          <w:spacing w:val="-6"/>
          <w:sz w:val="20"/>
        </w:rPr>
      </w:pPr>
    </w:p>
    <w:p w:rsidR="00B72182" w:rsidRPr="00A3576D" w:rsidRDefault="00B72182" w:rsidP="00B72182">
      <w:pPr>
        <w:pStyle w:val="Corpodeltesto"/>
        <w:ind w:right="-710"/>
        <w:rPr>
          <w:b/>
          <w:spacing w:val="-6"/>
          <w:u w:val="single"/>
        </w:rPr>
      </w:pPr>
      <w:r w:rsidRPr="00A3576D">
        <w:rPr>
          <w:b/>
          <w:spacing w:val="-6"/>
          <w:u w:val="single"/>
        </w:rPr>
        <w:lastRenderedPageBreak/>
        <w:t>Rapporto percentuale tra l’ammortamento (o costo equivalente annuo: leasing, noleggio, ecc) delle attrezzature sanitarie ed il totale ricavi dell’attività di assistenza</w:t>
      </w:r>
    </w:p>
    <w:p w:rsidR="00B72182" w:rsidRPr="00A3576D" w:rsidRDefault="00B72182" w:rsidP="005823B7">
      <w:pPr>
        <w:pStyle w:val="Corpodeltesto"/>
        <w:spacing w:after="0" w:line="240" w:lineRule="auto"/>
        <w:rPr>
          <w:spacing w:val="-6"/>
        </w:rPr>
      </w:pPr>
      <w:r w:rsidRPr="00A3576D">
        <w:rPr>
          <w:spacing w:val="-6"/>
        </w:rPr>
        <w:t>Rapporto: Totale ammortamento attrezzature sanitarie/Totale ricavi</w:t>
      </w:r>
    </w:p>
    <w:p w:rsidR="00B72182" w:rsidRPr="00A3576D" w:rsidRDefault="00B72182" w:rsidP="005823B7">
      <w:pPr>
        <w:pStyle w:val="Corpodeltesto"/>
        <w:spacing w:after="0" w:line="240" w:lineRule="auto"/>
        <w:ind w:right="-1"/>
        <w:rPr>
          <w:spacing w:val="-6"/>
        </w:rPr>
      </w:pPr>
      <w:r w:rsidRPr="00A3576D">
        <w:rPr>
          <w:spacing w:val="-6"/>
        </w:rPr>
        <w:t>Parametro di riferimento: superiore al 2%</w:t>
      </w:r>
    </w:p>
    <w:tbl>
      <w:tblPr>
        <w:tblW w:w="8647" w:type="dxa"/>
        <w:tblInd w:w="6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614"/>
        <w:gridCol w:w="2482"/>
        <w:gridCol w:w="2551"/>
      </w:tblGrid>
      <w:tr w:rsidR="00B72182" w:rsidRPr="00010FB7" w:rsidTr="00B72182">
        <w:tc>
          <w:tcPr>
            <w:tcW w:w="3614" w:type="dxa"/>
            <w:tcBorders>
              <w:top w:val="nil"/>
              <w:left w:val="nil"/>
              <w:bottom w:val="nil"/>
              <w:right w:val="nil"/>
            </w:tcBorders>
          </w:tcPr>
          <w:p w:rsidR="00B72182" w:rsidRPr="00010FB7" w:rsidRDefault="00B72182" w:rsidP="00B72182">
            <w:pPr>
              <w:pStyle w:val="Corpodeltesto"/>
              <w:ind w:right="-1"/>
              <w:rPr>
                <w:spacing w:val="-6"/>
              </w:rPr>
            </w:pPr>
          </w:p>
        </w:tc>
        <w:tc>
          <w:tcPr>
            <w:tcW w:w="2482" w:type="dxa"/>
            <w:tcBorders>
              <w:top w:val="single" w:sz="4" w:space="0" w:color="auto"/>
              <w:left w:val="single" w:sz="4" w:space="0" w:color="auto"/>
              <w:bottom w:val="single" w:sz="4" w:space="0" w:color="auto"/>
              <w:right w:val="single" w:sz="4" w:space="0" w:color="auto"/>
            </w:tcBorders>
          </w:tcPr>
          <w:p w:rsidR="00B72182" w:rsidRPr="00010FB7" w:rsidRDefault="00B72182" w:rsidP="00B72182">
            <w:pPr>
              <w:pStyle w:val="Corpodeltesto"/>
              <w:ind w:right="-1"/>
              <w:jc w:val="center"/>
              <w:rPr>
                <w:spacing w:val="-6"/>
              </w:rPr>
            </w:pPr>
            <w:r w:rsidRPr="00010FB7">
              <w:rPr>
                <w:spacing w:val="-6"/>
              </w:rPr>
              <w:t>31 dicembre 2014</w:t>
            </w:r>
          </w:p>
        </w:tc>
        <w:tc>
          <w:tcPr>
            <w:tcW w:w="2551" w:type="dxa"/>
            <w:tcBorders>
              <w:top w:val="single" w:sz="4" w:space="0" w:color="auto"/>
              <w:left w:val="single" w:sz="4" w:space="0" w:color="auto"/>
              <w:bottom w:val="single" w:sz="4" w:space="0" w:color="auto"/>
              <w:right w:val="single" w:sz="4" w:space="0" w:color="auto"/>
            </w:tcBorders>
          </w:tcPr>
          <w:p w:rsidR="00B72182" w:rsidRPr="00010FB7" w:rsidRDefault="00B72182" w:rsidP="00B72182">
            <w:pPr>
              <w:pStyle w:val="Corpodeltesto"/>
              <w:ind w:right="-1"/>
              <w:jc w:val="center"/>
              <w:rPr>
                <w:spacing w:val="-6"/>
              </w:rPr>
            </w:pPr>
            <w:r w:rsidRPr="00010FB7">
              <w:rPr>
                <w:spacing w:val="-6"/>
              </w:rPr>
              <w:t>31 dicembre 2015</w:t>
            </w:r>
          </w:p>
        </w:tc>
      </w:tr>
      <w:tr w:rsidR="00B72182" w:rsidRPr="00010FB7" w:rsidTr="00B72182">
        <w:tc>
          <w:tcPr>
            <w:tcW w:w="3614" w:type="dxa"/>
            <w:tcBorders>
              <w:top w:val="single" w:sz="4" w:space="0" w:color="auto"/>
              <w:left w:val="single" w:sz="4" w:space="0" w:color="auto"/>
              <w:bottom w:val="single" w:sz="4" w:space="0" w:color="auto"/>
              <w:right w:val="single" w:sz="4" w:space="0" w:color="auto"/>
            </w:tcBorders>
          </w:tcPr>
          <w:p w:rsidR="00B72182" w:rsidRPr="00010FB7" w:rsidRDefault="00B72182" w:rsidP="00B72182">
            <w:pPr>
              <w:pStyle w:val="Corpodeltesto"/>
              <w:ind w:right="-1"/>
              <w:rPr>
                <w:spacing w:val="-6"/>
              </w:rPr>
            </w:pPr>
            <w:r w:rsidRPr="00010FB7">
              <w:rPr>
                <w:spacing w:val="-6"/>
              </w:rPr>
              <w:t>Totale ammortamento attrezzature sanitarie</w:t>
            </w:r>
          </w:p>
        </w:tc>
        <w:tc>
          <w:tcPr>
            <w:tcW w:w="2482" w:type="dxa"/>
            <w:tcBorders>
              <w:top w:val="single" w:sz="4" w:space="0" w:color="auto"/>
              <w:left w:val="single" w:sz="4" w:space="0" w:color="auto"/>
              <w:bottom w:val="single" w:sz="4" w:space="0" w:color="auto"/>
              <w:right w:val="single" w:sz="4" w:space="0" w:color="auto"/>
            </w:tcBorders>
          </w:tcPr>
          <w:p w:rsidR="00B72182" w:rsidRPr="00010FB7" w:rsidRDefault="00B72182" w:rsidP="00B72182">
            <w:pPr>
              <w:pStyle w:val="Corpodeltesto"/>
              <w:ind w:right="-1"/>
              <w:jc w:val="center"/>
              <w:rPr>
                <w:spacing w:val="-6"/>
              </w:rPr>
            </w:pPr>
            <w:r w:rsidRPr="00010FB7">
              <w:rPr>
                <w:spacing w:val="-6"/>
              </w:rPr>
              <w:t>2.453.207</w:t>
            </w:r>
          </w:p>
        </w:tc>
        <w:tc>
          <w:tcPr>
            <w:tcW w:w="2551" w:type="dxa"/>
            <w:tcBorders>
              <w:top w:val="single" w:sz="4" w:space="0" w:color="auto"/>
              <w:left w:val="single" w:sz="4" w:space="0" w:color="auto"/>
              <w:bottom w:val="single" w:sz="4" w:space="0" w:color="auto"/>
              <w:right w:val="single" w:sz="4" w:space="0" w:color="auto"/>
            </w:tcBorders>
          </w:tcPr>
          <w:p w:rsidR="00B72182" w:rsidRPr="002B4991" w:rsidRDefault="00B72182" w:rsidP="00B72182">
            <w:pPr>
              <w:pStyle w:val="Corpodeltesto"/>
              <w:ind w:right="-1"/>
              <w:jc w:val="center"/>
              <w:rPr>
                <w:spacing w:val="-6"/>
              </w:rPr>
            </w:pPr>
            <w:r w:rsidRPr="002B4991">
              <w:rPr>
                <w:spacing w:val="-6"/>
              </w:rPr>
              <w:t>2.223.450</w:t>
            </w:r>
          </w:p>
        </w:tc>
      </w:tr>
      <w:tr w:rsidR="00B72182" w:rsidRPr="00010FB7" w:rsidTr="00B72182">
        <w:tc>
          <w:tcPr>
            <w:tcW w:w="3614" w:type="dxa"/>
            <w:tcBorders>
              <w:top w:val="single" w:sz="4" w:space="0" w:color="auto"/>
              <w:left w:val="single" w:sz="4" w:space="0" w:color="auto"/>
              <w:bottom w:val="single" w:sz="4" w:space="0" w:color="auto"/>
              <w:right w:val="single" w:sz="4" w:space="0" w:color="auto"/>
            </w:tcBorders>
          </w:tcPr>
          <w:p w:rsidR="00B72182" w:rsidRPr="00010FB7" w:rsidRDefault="00B72182" w:rsidP="00B72182">
            <w:pPr>
              <w:pStyle w:val="Corpodeltesto"/>
              <w:ind w:right="-1"/>
              <w:rPr>
                <w:spacing w:val="-6"/>
              </w:rPr>
            </w:pPr>
            <w:r w:rsidRPr="00010FB7">
              <w:rPr>
                <w:spacing w:val="-6"/>
              </w:rPr>
              <w:t>Totale ricavi</w:t>
            </w:r>
          </w:p>
        </w:tc>
        <w:tc>
          <w:tcPr>
            <w:tcW w:w="2482" w:type="dxa"/>
            <w:tcBorders>
              <w:top w:val="single" w:sz="4" w:space="0" w:color="auto"/>
              <w:left w:val="single" w:sz="4" w:space="0" w:color="auto"/>
              <w:bottom w:val="single" w:sz="4" w:space="0" w:color="auto"/>
              <w:right w:val="single" w:sz="4" w:space="0" w:color="auto"/>
            </w:tcBorders>
          </w:tcPr>
          <w:p w:rsidR="00B72182" w:rsidRPr="00010FB7" w:rsidRDefault="00B72182" w:rsidP="00B72182">
            <w:pPr>
              <w:pStyle w:val="Corpodeltesto"/>
              <w:ind w:right="-1"/>
              <w:jc w:val="center"/>
              <w:rPr>
                <w:spacing w:val="-6"/>
              </w:rPr>
            </w:pPr>
            <w:r w:rsidRPr="00010FB7">
              <w:rPr>
                <w:spacing w:val="-6"/>
              </w:rPr>
              <w:t>92.490.968</w:t>
            </w:r>
          </w:p>
        </w:tc>
        <w:tc>
          <w:tcPr>
            <w:tcW w:w="2551" w:type="dxa"/>
            <w:tcBorders>
              <w:top w:val="single" w:sz="4" w:space="0" w:color="auto"/>
              <w:left w:val="single" w:sz="4" w:space="0" w:color="auto"/>
              <w:bottom w:val="single" w:sz="4" w:space="0" w:color="auto"/>
              <w:right w:val="single" w:sz="4" w:space="0" w:color="auto"/>
            </w:tcBorders>
          </w:tcPr>
          <w:p w:rsidR="00B72182" w:rsidRPr="002B4991" w:rsidRDefault="00B72182" w:rsidP="00B72182">
            <w:pPr>
              <w:pStyle w:val="Corpodeltesto"/>
              <w:ind w:right="-1"/>
              <w:jc w:val="center"/>
              <w:rPr>
                <w:spacing w:val="-6"/>
              </w:rPr>
            </w:pPr>
            <w:r w:rsidRPr="002B4991">
              <w:rPr>
                <w:spacing w:val="-6"/>
              </w:rPr>
              <w:t>109.571.795</w:t>
            </w:r>
          </w:p>
        </w:tc>
      </w:tr>
      <w:tr w:rsidR="00B72182" w:rsidRPr="00010FB7" w:rsidTr="00B72182">
        <w:tc>
          <w:tcPr>
            <w:tcW w:w="3614" w:type="dxa"/>
            <w:tcBorders>
              <w:top w:val="single" w:sz="4" w:space="0" w:color="auto"/>
              <w:left w:val="nil"/>
              <w:bottom w:val="nil"/>
              <w:right w:val="nil"/>
            </w:tcBorders>
          </w:tcPr>
          <w:p w:rsidR="00B72182" w:rsidRPr="00010FB7" w:rsidRDefault="00B72182" w:rsidP="00B72182">
            <w:pPr>
              <w:pStyle w:val="Corpodeltesto"/>
              <w:ind w:right="-1"/>
              <w:rPr>
                <w:spacing w:val="-6"/>
              </w:rPr>
            </w:pPr>
            <w:proofErr w:type="spellStart"/>
            <w:r w:rsidRPr="00010FB7">
              <w:rPr>
                <w:b/>
                <w:spacing w:val="-6"/>
              </w:rPr>
              <w:t>C.R.O.</w:t>
            </w:r>
            <w:proofErr w:type="spellEnd"/>
          </w:p>
        </w:tc>
        <w:tc>
          <w:tcPr>
            <w:tcW w:w="2482" w:type="dxa"/>
            <w:tcBorders>
              <w:top w:val="single" w:sz="4" w:space="0" w:color="auto"/>
              <w:left w:val="nil"/>
              <w:bottom w:val="nil"/>
              <w:right w:val="nil"/>
            </w:tcBorders>
          </w:tcPr>
          <w:p w:rsidR="00B72182" w:rsidRPr="00010FB7" w:rsidRDefault="00B72182" w:rsidP="00B72182">
            <w:pPr>
              <w:pStyle w:val="Corpodeltesto"/>
              <w:ind w:right="-1"/>
              <w:jc w:val="center"/>
              <w:rPr>
                <w:b/>
                <w:spacing w:val="-6"/>
              </w:rPr>
            </w:pPr>
            <w:r w:rsidRPr="00010FB7">
              <w:rPr>
                <w:b/>
                <w:spacing w:val="-6"/>
              </w:rPr>
              <w:t xml:space="preserve">   2,65%</w:t>
            </w:r>
          </w:p>
        </w:tc>
        <w:tc>
          <w:tcPr>
            <w:tcW w:w="2551" w:type="dxa"/>
            <w:tcBorders>
              <w:top w:val="single" w:sz="4" w:space="0" w:color="auto"/>
              <w:left w:val="nil"/>
              <w:bottom w:val="nil"/>
              <w:right w:val="nil"/>
            </w:tcBorders>
          </w:tcPr>
          <w:p w:rsidR="00B72182" w:rsidRPr="002B4991" w:rsidRDefault="00B72182" w:rsidP="00B72182">
            <w:pPr>
              <w:pStyle w:val="Corpodeltesto"/>
              <w:ind w:right="-1"/>
              <w:jc w:val="center"/>
              <w:rPr>
                <w:b/>
                <w:spacing w:val="-6"/>
              </w:rPr>
            </w:pPr>
            <w:r w:rsidRPr="002B4991">
              <w:rPr>
                <w:b/>
                <w:spacing w:val="-6"/>
              </w:rPr>
              <w:t xml:space="preserve">   2,03%</w:t>
            </w:r>
          </w:p>
        </w:tc>
      </w:tr>
    </w:tbl>
    <w:p w:rsidR="00B72182" w:rsidRPr="00A3576D" w:rsidRDefault="00B72182" w:rsidP="00B72182">
      <w:pPr>
        <w:pStyle w:val="Corpodeltesto"/>
        <w:rPr>
          <w:b/>
          <w:spacing w:val="-6"/>
          <w:sz w:val="20"/>
          <w:u w:val="single"/>
        </w:rPr>
      </w:pPr>
    </w:p>
    <w:p w:rsidR="00B72182" w:rsidRPr="00A3576D" w:rsidRDefault="00B72182" w:rsidP="00B72182">
      <w:pPr>
        <w:pStyle w:val="Corpodeltesto"/>
        <w:rPr>
          <w:b/>
          <w:spacing w:val="-6"/>
          <w:u w:val="single"/>
        </w:rPr>
      </w:pPr>
      <w:r w:rsidRPr="00A3576D">
        <w:rPr>
          <w:b/>
          <w:spacing w:val="-6"/>
          <w:u w:val="single"/>
        </w:rPr>
        <w:t>Rapporto percentuale tra il costo totale di acquisto di beni e servizi e il totale dei ricavi dell’Ente</w:t>
      </w:r>
    </w:p>
    <w:p w:rsidR="00B72182" w:rsidRPr="00A3576D" w:rsidRDefault="00B72182" w:rsidP="005823B7">
      <w:pPr>
        <w:pStyle w:val="Corpodeltesto"/>
        <w:spacing w:after="0" w:line="240" w:lineRule="auto"/>
        <w:rPr>
          <w:spacing w:val="-6"/>
        </w:rPr>
      </w:pPr>
      <w:r w:rsidRPr="00A3576D">
        <w:rPr>
          <w:spacing w:val="-6"/>
        </w:rPr>
        <w:t>Rapporto: Totale costo di acquisto di beni e servizi/Totale ricavi</w:t>
      </w:r>
    </w:p>
    <w:p w:rsidR="00B72182" w:rsidRPr="00A3576D" w:rsidRDefault="00B72182" w:rsidP="005823B7">
      <w:pPr>
        <w:pStyle w:val="Corpodeltesto"/>
        <w:spacing w:after="0" w:line="240" w:lineRule="auto"/>
        <w:ind w:right="-1"/>
        <w:rPr>
          <w:spacing w:val="-6"/>
        </w:rPr>
      </w:pPr>
      <w:r w:rsidRPr="00A3576D">
        <w:rPr>
          <w:spacing w:val="-6"/>
        </w:rPr>
        <w:t>Rappresenta l’incidenza del costo di acquisto di beni e servizi sul totale ricavi dell’Ente</w:t>
      </w:r>
    </w:p>
    <w:p w:rsidR="00B72182" w:rsidRPr="00A3576D" w:rsidRDefault="00B72182" w:rsidP="005823B7">
      <w:pPr>
        <w:pStyle w:val="Corpodeltesto"/>
        <w:spacing w:after="0" w:line="240" w:lineRule="auto"/>
        <w:ind w:right="-1"/>
        <w:rPr>
          <w:spacing w:val="-6"/>
        </w:rPr>
      </w:pPr>
      <w:r w:rsidRPr="00A3576D">
        <w:rPr>
          <w:spacing w:val="-6"/>
        </w:rPr>
        <w:t>Parametro di riferimento: inferiore al 40%</w:t>
      </w:r>
    </w:p>
    <w:tbl>
      <w:tblPr>
        <w:tblW w:w="8647" w:type="dxa"/>
        <w:tblInd w:w="6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614"/>
        <w:gridCol w:w="2482"/>
        <w:gridCol w:w="2551"/>
      </w:tblGrid>
      <w:tr w:rsidR="00B72182" w:rsidRPr="008E7B9C" w:rsidTr="00B72182">
        <w:tc>
          <w:tcPr>
            <w:tcW w:w="3614" w:type="dxa"/>
            <w:tcBorders>
              <w:top w:val="nil"/>
              <w:left w:val="nil"/>
              <w:bottom w:val="nil"/>
              <w:right w:val="nil"/>
            </w:tcBorders>
          </w:tcPr>
          <w:p w:rsidR="00B72182" w:rsidRPr="008E7B9C" w:rsidRDefault="00B72182" w:rsidP="00B72182">
            <w:pPr>
              <w:pStyle w:val="Corpodeltesto"/>
              <w:ind w:right="-1"/>
              <w:rPr>
                <w:spacing w:val="-6"/>
              </w:rPr>
            </w:pPr>
          </w:p>
        </w:tc>
        <w:tc>
          <w:tcPr>
            <w:tcW w:w="2482" w:type="dxa"/>
            <w:tcBorders>
              <w:top w:val="single" w:sz="4" w:space="0" w:color="auto"/>
              <w:left w:val="single" w:sz="4" w:space="0" w:color="auto"/>
              <w:bottom w:val="single" w:sz="4" w:space="0" w:color="auto"/>
              <w:right w:val="single" w:sz="4" w:space="0" w:color="auto"/>
            </w:tcBorders>
          </w:tcPr>
          <w:p w:rsidR="00B72182" w:rsidRPr="008E7B9C" w:rsidRDefault="00B72182" w:rsidP="00B72182">
            <w:pPr>
              <w:pStyle w:val="Corpodeltesto"/>
              <w:ind w:right="-1"/>
              <w:jc w:val="center"/>
              <w:rPr>
                <w:spacing w:val="-6"/>
              </w:rPr>
            </w:pPr>
            <w:r w:rsidRPr="008E7B9C">
              <w:rPr>
                <w:spacing w:val="-6"/>
              </w:rPr>
              <w:t>31 dicembre 2014</w:t>
            </w:r>
          </w:p>
        </w:tc>
        <w:tc>
          <w:tcPr>
            <w:tcW w:w="2551" w:type="dxa"/>
            <w:tcBorders>
              <w:top w:val="single" w:sz="4" w:space="0" w:color="auto"/>
              <w:left w:val="single" w:sz="4" w:space="0" w:color="auto"/>
              <w:bottom w:val="single" w:sz="4" w:space="0" w:color="auto"/>
              <w:right w:val="single" w:sz="4" w:space="0" w:color="auto"/>
            </w:tcBorders>
          </w:tcPr>
          <w:p w:rsidR="00B72182" w:rsidRPr="008E7B9C" w:rsidRDefault="00B72182" w:rsidP="00B72182">
            <w:pPr>
              <w:pStyle w:val="Corpodeltesto"/>
              <w:ind w:right="-1"/>
              <w:jc w:val="center"/>
              <w:rPr>
                <w:spacing w:val="-6"/>
              </w:rPr>
            </w:pPr>
            <w:r w:rsidRPr="008E7B9C">
              <w:rPr>
                <w:spacing w:val="-6"/>
              </w:rPr>
              <w:t>31 dicembre 2015</w:t>
            </w:r>
          </w:p>
        </w:tc>
      </w:tr>
      <w:tr w:rsidR="00B72182" w:rsidRPr="008E7B9C" w:rsidTr="00B72182">
        <w:tc>
          <w:tcPr>
            <w:tcW w:w="3614" w:type="dxa"/>
            <w:tcBorders>
              <w:top w:val="single" w:sz="4" w:space="0" w:color="auto"/>
              <w:left w:val="single" w:sz="4" w:space="0" w:color="auto"/>
              <w:bottom w:val="single" w:sz="4" w:space="0" w:color="auto"/>
              <w:right w:val="single" w:sz="4" w:space="0" w:color="auto"/>
            </w:tcBorders>
          </w:tcPr>
          <w:p w:rsidR="00B72182" w:rsidRPr="008E7B9C" w:rsidRDefault="00B72182" w:rsidP="00B72182">
            <w:pPr>
              <w:pStyle w:val="Corpodeltesto"/>
              <w:ind w:right="-1"/>
              <w:rPr>
                <w:spacing w:val="-6"/>
              </w:rPr>
            </w:pPr>
            <w:r w:rsidRPr="008E7B9C">
              <w:rPr>
                <w:spacing w:val="-6"/>
              </w:rPr>
              <w:t>Totale acquisti di beni e servizi</w:t>
            </w:r>
          </w:p>
        </w:tc>
        <w:tc>
          <w:tcPr>
            <w:tcW w:w="2482" w:type="dxa"/>
            <w:tcBorders>
              <w:top w:val="single" w:sz="4" w:space="0" w:color="auto"/>
              <w:left w:val="single" w:sz="4" w:space="0" w:color="auto"/>
              <w:bottom w:val="single" w:sz="4" w:space="0" w:color="auto"/>
              <w:right w:val="single" w:sz="4" w:space="0" w:color="auto"/>
            </w:tcBorders>
          </w:tcPr>
          <w:p w:rsidR="00B72182" w:rsidRPr="008E7B9C" w:rsidRDefault="00B72182" w:rsidP="00B72182">
            <w:pPr>
              <w:pStyle w:val="Corpodeltesto"/>
              <w:ind w:right="-1"/>
              <w:jc w:val="center"/>
              <w:rPr>
                <w:spacing w:val="-6"/>
              </w:rPr>
            </w:pPr>
            <w:r w:rsidRPr="008E7B9C">
              <w:rPr>
                <w:spacing w:val="-6"/>
              </w:rPr>
              <w:t>39.145.077</w:t>
            </w:r>
          </w:p>
        </w:tc>
        <w:tc>
          <w:tcPr>
            <w:tcW w:w="2551" w:type="dxa"/>
            <w:tcBorders>
              <w:top w:val="single" w:sz="4" w:space="0" w:color="auto"/>
              <w:left w:val="single" w:sz="4" w:space="0" w:color="auto"/>
              <w:bottom w:val="single" w:sz="4" w:space="0" w:color="auto"/>
              <w:right w:val="single" w:sz="4" w:space="0" w:color="auto"/>
            </w:tcBorders>
          </w:tcPr>
          <w:p w:rsidR="00B72182" w:rsidRPr="00B77B75" w:rsidRDefault="00B72182" w:rsidP="00B72182">
            <w:pPr>
              <w:pStyle w:val="Corpodeltesto"/>
              <w:ind w:right="-1"/>
              <w:jc w:val="center"/>
              <w:rPr>
                <w:spacing w:val="-6"/>
              </w:rPr>
            </w:pPr>
            <w:r w:rsidRPr="00B77B75">
              <w:rPr>
                <w:spacing w:val="-6"/>
              </w:rPr>
              <w:t>42.942.268</w:t>
            </w:r>
          </w:p>
        </w:tc>
      </w:tr>
      <w:tr w:rsidR="00B72182" w:rsidRPr="008E7B9C" w:rsidTr="00B72182">
        <w:tc>
          <w:tcPr>
            <w:tcW w:w="3614" w:type="dxa"/>
            <w:tcBorders>
              <w:top w:val="single" w:sz="4" w:space="0" w:color="auto"/>
              <w:left w:val="single" w:sz="4" w:space="0" w:color="auto"/>
              <w:bottom w:val="single" w:sz="4" w:space="0" w:color="auto"/>
              <w:right w:val="single" w:sz="4" w:space="0" w:color="auto"/>
            </w:tcBorders>
          </w:tcPr>
          <w:p w:rsidR="00B72182" w:rsidRPr="008E7B9C" w:rsidRDefault="00B72182" w:rsidP="00B72182">
            <w:pPr>
              <w:pStyle w:val="Corpodeltesto"/>
              <w:ind w:right="-1"/>
              <w:rPr>
                <w:spacing w:val="-6"/>
              </w:rPr>
            </w:pPr>
            <w:r w:rsidRPr="008E7B9C">
              <w:rPr>
                <w:spacing w:val="-6"/>
              </w:rPr>
              <w:t>Totale ricavi</w:t>
            </w:r>
          </w:p>
        </w:tc>
        <w:tc>
          <w:tcPr>
            <w:tcW w:w="2482" w:type="dxa"/>
            <w:tcBorders>
              <w:top w:val="single" w:sz="4" w:space="0" w:color="auto"/>
              <w:left w:val="single" w:sz="4" w:space="0" w:color="auto"/>
              <w:bottom w:val="single" w:sz="4" w:space="0" w:color="auto"/>
              <w:right w:val="single" w:sz="4" w:space="0" w:color="auto"/>
            </w:tcBorders>
          </w:tcPr>
          <w:p w:rsidR="00B72182" w:rsidRPr="008E7B9C" w:rsidRDefault="00B72182" w:rsidP="00B72182">
            <w:pPr>
              <w:pStyle w:val="Corpodeltesto"/>
              <w:ind w:right="-1"/>
              <w:jc w:val="center"/>
              <w:rPr>
                <w:spacing w:val="-6"/>
              </w:rPr>
            </w:pPr>
            <w:r w:rsidRPr="008E7B9C">
              <w:rPr>
                <w:spacing w:val="-6"/>
              </w:rPr>
              <w:t>92.490.968</w:t>
            </w:r>
          </w:p>
        </w:tc>
        <w:tc>
          <w:tcPr>
            <w:tcW w:w="2551" w:type="dxa"/>
            <w:tcBorders>
              <w:top w:val="single" w:sz="4" w:space="0" w:color="auto"/>
              <w:left w:val="single" w:sz="4" w:space="0" w:color="auto"/>
              <w:bottom w:val="single" w:sz="4" w:space="0" w:color="auto"/>
              <w:right w:val="single" w:sz="4" w:space="0" w:color="auto"/>
            </w:tcBorders>
          </w:tcPr>
          <w:p w:rsidR="00B72182" w:rsidRPr="002B4991" w:rsidRDefault="00B72182" w:rsidP="00B72182">
            <w:pPr>
              <w:pStyle w:val="Corpodeltesto"/>
              <w:ind w:right="-1"/>
              <w:jc w:val="center"/>
              <w:rPr>
                <w:spacing w:val="-6"/>
              </w:rPr>
            </w:pPr>
            <w:r w:rsidRPr="002B4991">
              <w:rPr>
                <w:spacing w:val="-6"/>
              </w:rPr>
              <w:t>109.571.795</w:t>
            </w:r>
          </w:p>
        </w:tc>
      </w:tr>
      <w:tr w:rsidR="00B72182" w:rsidRPr="008E7B9C" w:rsidTr="00B72182">
        <w:tc>
          <w:tcPr>
            <w:tcW w:w="3614" w:type="dxa"/>
            <w:tcBorders>
              <w:top w:val="single" w:sz="4" w:space="0" w:color="auto"/>
              <w:left w:val="nil"/>
              <w:bottom w:val="nil"/>
              <w:right w:val="nil"/>
            </w:tcBorders>
          </w:tcPr>
          <w:p w:rsidR="00B72182" w:rsidRPr="008E7B9C" w:rsidRDefault="00B72182" w:rsidP="00B72182">
            <w:pPr>
              <w:pStyle w:val="Corpodeltesto"/>
              <w:ind w:right="-1"/>
              <w:rPr>
                <w:spacing w:val="-6"/>
              </w:rPr>
            </w:pPr>
            <w:proofErr w:type="spellStart"/>
            <w:r w:rsidRPr="008E7B9C">
              <w:rPr>
                <w:b/>
                <w:spacing w:val="-6"/>
              </w:rPr>
              <w:t>C.R.O.</w:t>
            </w:r>
            <w:proofErr w:type="spellEnd"/>
          </w:p>
        </w:tc>
        <w:tc>
          <w:tcPr>
            <w:tcW w:w="2482" w:type="dxa"/>
            <w:tcBorders>
              <w:top w:val="single" w:sz="4" w:space="0" w:color="auto"/>
              <w:left w:val="nil"/>
              <w:bottom w:val="nil"/>
              <w:right w:val="nil"/>
            </w:tcBorders>
          </w:tcPr>
          <w:p w:rsidR="00B72182" w:rsidRPr="008E7B9C" w:rsidRDefault="00B72182" w:rsidP="00B72182">
            <w:pPr>
              <w:pStyle w:val="Corpodeltesto"/>
              <w:ind w:right="-1"/>
              <w:jc w:val="center"/>
              <w:rPr>
                <w:b/>
                <w:spacing w:val="-6"/>
              </w:rPr>
            </w:pPr>
            <w:r w:rsidRPr="008E7B9C">
              <w:rPr>
                <w:b/>
                <w:spacing w:val="-6"/>
              </w:rPr>
              <w:t>42,32%</w:t>
            </w:r>
          </w:p>
        </w:tc>
        <w:tc>
          <w:tcPr>
            <w:tcW w:w="2551" w:type="dxa"/>
            <w:tcBorders>
              <w:top w:val="single" w:sz="4" w:space="0" w:color="auto"/>
              <w:left w:val="nil"/>
              <w:bottom w:val="nil"/>
              <w:right w:val="nil"/>
            </w:tcBorders>
          </w:tcPr>
          <w:p w:rsidR="00B72182" w:rsidRPr="00B77B75" w:rsidRDefault="00B72182" w:rsidP="00B72182">
            <w:pPr>
              <w:pStyle w:val="Corpodeltesto"/>
              <w:ind w:right="-1"/>
              <w:jc w:val="center"/>
              <w:rPr>
                <w:b/>
                <w:spacing w:val="-6"/>
              </w:rPr>
            </w:pPr>
            <w:r w:rsidRPr="00B77B75">
              <w:rPr>
                <w:b/>
                <w:spacing w:val="-6"/>
              </w:rPr>
              <w:t>39,19%</w:t>
            </w:r>
          </w:p>
        </w:tc>
      </w:tr>
    </w:tbl>
    <w:p w:rsidR="00B72182" w:rsidRPr="00A3576D" w:rsidRDefault="00B72182" w:rsidP="00B72182">
      <w:pPr>
        <w:pStyle w:val="Corpodeltesto"/>
        <w:ind w:right="-1"/>
        <w:rPr>
          <w:spacing w:val="-6"/>
          <w:sz w:val="20"/>
        </w:rPr>
      </w:pPr>
    </w:p>
    <w:p w:rsidR="00B72182" w:rsidRPr="00A3576D" w:rsidRDefault="00B72182" w:rsidP="00B72182">
      <w:pPr>
        <w:pStyle w:val="Corpodeltesto"/>
        <w:rPr>
          <w:b/>
          <w:spacing w:val="-6"/>
          <w:u w:val="single"/>
        </w:rPr>
      </w:pPr>
      <w:r w:rsidRPr="00A3576D">
        <w:rPr>
          <w:b/>
          <w:spacing w:val="-6"/>
          <w:u w:val="single"/>
        </w:rPr>
        <w:t>Rapporto percentuale tra il costo di acquisto del materiale sanitario e il totale dei ricavi dell’Ente</w:t>
      </w:r>
    </w:p>
    <w:p w:rsidR="00B72182" w:rsidRPr="00A3576D" w:rsidRDefault="00B72182" w:rsidP="005823B7">
      <w:pPr>
        <w:pStyle w:val="Corpodeltesto"/>
        <w:spacing w:after="0" w:line="240" w:lineRule="auto"/>
        <w:rPr>
          <w:spacing w:val="-6"/>
        </w:rPr>
      </w:pPr>
      <w:r w:rsidRPr="00A3576D">
        <w:rPr>
          <w:spacing w:val="-6"/>
        </w:rPr>
        <w:t>Rapporto: Totale costo materiale sanitario/Totale ricavi</w:t>
      </w:r>
    </w:p>
    <w:p w:rsidR="00B72182" w:rsidRPr="00A3576D" w:rsidRDefault="00B72182" w:rsidP="005823B7">
      <w:pPr>
        <w:pStyle w:val="Corpodeltesto"/>
        <w:spacing w:after="0" w:line="240" w:lineRule="auto"/>
        <w:ind w:right="-1"/>
        <w:rPr>
          <w:spacing w:val="-6"/>
        </w:rPr>
      </w:pPr>
      <w:r w:rsidRPr="00A3576D">
        <w:rPr>
          <w:spacing w:val="-6"/>
        </w:rPr>
        <w:t>Rappresenta l’incidenza del costo del materiale sanitario sul totale ricavi dell’Ente</w:t>
      </w:r>
    </w:p>
    <w:p w:rsidR="00B72182" w:rsidRPr="00A3576D" w:rsidRDefault="00B72182" w:rsidP="005823B7">
      <w:pPr>
        <w:pStyle w:val="Corpodeltesto"/>
        <w:spacing w:after="0" w:line="240" w:lineRule="auto"/>
        <w:ind w:right="-1"/>
        <w:rPr>
          <w:spacing w:val="-6"/>
        </w:rPr>
      </w:pPr>
      <w:r w:rsidRPr="00A3576D">
        <w:rPr>
          <w:spacing w:val="-6"/>
        </w:rPr>
        <w:t>Parametro di riferimento: inferiore al 25%</w:t>
      </w:r>
    </w:p>
    <w:tbl>
      <w:tblPr>
        <w:tblW w:w="8647" w:type="dxa"/>
        <w:tblInd w:w="6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544"/>
        <w:gridCol w:w="2552"/>
        <w:gridCol w:w="2551"/>
      </w:tblGrid>
      <w:tr w:rsidR="00B72182" w:rsidRPr="008E7B9C" w:rsidTr="00B72182">
        <w:tc>
          <w:tcPr>
            <w:tcW w:w="3544" w:type="dxa"/>
            <w:tcBorders>
              <w:top w:val="nil"/>
              <w:left w:val="nil"/>
              <w:bottom w:val="nil"/>
              <w:right w:val="nil"/>
            </w:tcBorders>
          </w:tcPr>
          <w:p w:rsidR="00B72182" w:rsidRPr="008E7B9C" w:rsidRDefault="00B72182" w:rsidP="00B72182">
            <w:pPr>
              <w:pStyle w:val="Corpodeltesto"/>
              <w:ind w:right="-1"/>
              <w:rPr>
                <w:spacing w:val="-6"/>
              </w:rPr>
            </w:pPr>
          </w:p>
        </w:tc>
        <w:tc>
          <w:tcPr>
            <w:tcW w:w="2552" w:type="dxa"/>
            <w:tcBorders>
              <w:top w:val="single" w:sz="4" w:space="0" w:color="auto"/>
              <w:left w:val="single" w:sz="4" w:space="0" w:color="auto"/>
              <w:bottom w:val="single" w:sz="4" w:space="0" w:color="auto"/>
              <w:right w:val="single" w:sz="4" w:space="0" w:color="auto"/>
            </w:tcBorders>
          </w:tcPr>
          <w:p w:rsidR="00B72182" w:rsidRPr="008E7B9C" w:rsidRDefault="00B72182" w:rsidP="00B72182">
            <w:pPr>
              <w:pStyle w:val="Corpodeltesto"/>
              <w:ind w:right="-1"/>
              <w:jc w:val="center"/>
              <w:rPr>
                <w:spacing w:val="-6"/>
              </w:rPr>
            </w:pPr>
            <w:r w:rsidRPr="008E7B9C">
              <w:rPr>
                <w:spacing w:val="-6"/>
              </w:rPr>
              <w:t>31 dicembre 2014</w:t>
            </w:r>
          </w:p>
        </w:tc>
        <w:tc>
          <w:tcPr>
            <w:tcW w:w="2551" w:type="dxa"/>
            <w:tcBorders>
              <w:top w:val="single" w:sz="4" w:space="0" w:color="auto"/>
              <w:left w:val="single" w:sz="4" w:space="0" w:color="auto"/>
              <w:bottom w:val="single" w:sz="4" w:space="0" w:color="auto"/>
              <w:right w:val="single" w:sz="4" w:space="0" w:color="auto"/>
            </w:tcBorders>
          </w:tcPr>
          <w:p w:rsidR="00B72182" w:rsidRPr="008E7B9C" w:rsidRDefault="00B72182" w:rsidP="00B72182">
            <w:pPr>
              <w:pStyle w:val="Corpodeltesto"/>
              <w:ind w:right="-1"/>
              <w:jc w:val="center"/>
              <w:rPr>
                <w:spacing w:val="-6"/>
              </w:rPr>
            </w:pPr>
            <w:r w:rsidRPr="008E7B9C">
              <w:rPr>
                <w:spacing w:val="-6"/>
              </w:rPr>
              <w:t>31 dicembre 2015</w:t>
            </w:r>
          </w:p>
        </w:tc>
      </w:tr>
      <w:tr w:rsidR="00B72182" w:rsidRPr="008E7B9C" w:rsidTr="00B72182">
        <w:tc>
          <w:tcPr>
            <w:tcW w:w="3544" w:type="dxa"/>
            <w:tcBorders>
              <w:top w:val="single" w:sz="4" w:space="0" w:color="auto"/>
              <w:left w:val="single" w:sz="4" w:space="0" w:color="auto"/>
              <w:bottom w:val="single" w:sz="4" w:space="0" w:color="auto"/>
              <w:right w:val="single" w:sz="4" w:space="0" w:color="auto"/>
            </w:tcBorders>
          </w:tcPr>
          <w:p w:rsidR="00B72182" w:rsidRPr="008E7B9C" w:rsidRDefault="00B72182" w:rsidP="00B72182">
            <w:pPr>
              <w:pStyle w:val="Corpodeltesto"/>
              <w:ind w:right="-1"/>
              <w:rPr>
                <w:spacing w:val="-6"/>
              </w:rPr>
            </w:pPr>
            <w:r w:rsidRPr="008E7B9C">
              <w:rPr>
                <w:spacing w:val="-6"/>
              </w:rPr>
              <w:t>Totale costo materiale sanitario</w:t>
            </w:r>
          </w:p>
        </w:tc>
        <w:tc>
          <w:tcPr>
            <w:tcW w:w="2552" w:type="dxa"/>
            <w:tcBorders>
              <w:top w:val="single" w:sz="4" w:space="0" w:color="auto"/>
              <w:left w:val="single" w:sz="4" w:space="0" w:color="auto"/>
              <w:bottom w:val="single" w:sz="4" w:space="0" w:color="auto"/>
              <w:right w:val="single" w:sz="4" w:space="0" w:color="auto"/>
            </w:tcBorders>
          </w:tcPr>
          <w:p w:rsidR="00B72182" w:rsidRPr="008E7B9C" w:rsidRDefault="00B72182" w:rsidP="00B72182">
            <w:pPr>
              <w:pStyle w:val="Corpodeltesto"/>
              <w:ind w:right="-1"/>
              <w:jc w:val="center"/>
              <w:rPr>
                <w:spacing w:val="-6"/>
              </w:rPr>
            </w:pPr>
            <w:r w:rsidRPr="008E7B9C">
              <w:rPr>
                <w:spacing w:val="-6"/>
              </w:rPr>
              <w:t>26.276.383</w:t>
            </w:r>
          </w:p>
        </w:tc>
        <w:tc>
          <w:tcPr>
            <w:tcW w:w="2551" w:type="dxa"/>
            <w:tcBorders>
              <w:top w:val="single" w:sz="4" w:space="0" w:color="auto"/>
              <w:left w:val="single" w:sz="4" w:space="0" w:color="auto"/>
              <w:bottom w:val="single" w:sz="4" w:space="0" w:color="auto"/>
              <w:right w:val="single" w:sz="4" w:space="0" w:color="auto"/>
            </w:tcBorders>
          </w:tcPr>
          <w:p w:rsidR="00B72182" w:rsidRPr="00B77B75" w:rsidRDefault="00B72182" w:rsidP="00B72182">
            <w:pPr>
              <w:pStyle w:val="Corpodeltesto"/>
              <w:ind w:right="-1"/>
              <w:jc w:val="center"/>
              <w:rPr>
                <w:spacing w:val="-6"/>
              </w:rPr>
            </w:pPr>
            <w:r w:rsidRPr="00B77B75">
              <w:rPr>
                <w:spacing w:val="-6"/>
              </w:rPr>
              <w:t>27.828.558</w:t>
            </w:r>
          </w:p>
        </w:tc>
      </w:tr>
      <w:tr w:rsidR="00B72182" w:rsidRPr="008E7B9C" w:rsidTr="00B72182">
        <w:tc>
          <w:tcPr>
            <w:tcW w:w="3544" w:type="dxa"/>
            <w:tcBorders>
              <w:top w:val="single" w:sz="4" w:space="0" w:color="auto"/>
              <w:left w:val="single" w:sz="4" w:space="0" w:color="auto"/>
              <w:bottom w:val="single" w:sz="4" w:space="0" w:color="auto"/>
              <w:right w:val="single" w:sz="4" w:space="0" w:color="auto"/>
            </w:tcBorders>
          </w:tcPr>
          <w:p w:rsidR="00B72182" w:rsidRPr="008E7B9C" w:rsidRDefault="00B72182" w:rsidP="00B72182">
            <w:pPr>
              <w:pStyle w:val="Corpodeltesto"/>
              <w:ind w:right="-1"/>
              <w:rPr>
                <w:spacing w:val="-6"/>
              </w:rPr>
            </w:pPr>
            <w:r w:rsidRPr="008E7B9C">
              <w:rPr>
                <w:spacing w:val="-6"/>
              </w:rPr>
              <w:t>Totale ricavi</w:t>
            </w:r>
          </w:p>
        </w:tc>
        <w:tc>
          <w:tcPr>
            <w:tcW w:w="2552" w:type="dxa"/>
            <w:tcBorders>
              <w:top w:val="single" w:sz="4" w:space="0" w:color="auto"/>
              <w:left w:val="single" w:sz="4" w:space="0" w:color="auto"/>
              <w:bottom w:val="single" w:sz="4" w:space="0" w:color="auto"/>
              <w:right w:val="single" w:sz="4" w:space="0" w:color="auto"/>
            </w:tcBorders>
          </w:tcPr>
          <w:p w:rsidR="00B72182" w:rsidRPr="008E7B9C" w:rsidRDefault="00B72182" w:rsidP="00B72182">
            <w:pPr>
              <w:pStyle w:val="Corpodeltesto"/>
              <w:ind w:right="-1"/>
              <w:jc w:val="center"/>
              <w:rPr>
                <w:spacing w:val="-6"/>
              </w:rPr>
            </w:pPr>
            <w:r w:rsidRPr="008E7B9C">
              <w:rPr>
                <w:spacing w:val="-6"/>
              </w:rPr>
              <w:t>92.490.968</w:t>
            </w:r>
          </w:p>
        </w:tc>
        <w:tc>
          <w:tcPr>
            <w:tcW w:w="2551" w:type="dxa"/>
            <w:tcBorders>
              <w:top w:val="single" w:sz="4" w:space="0" w:color="auto"/>
              <w:left w:val="single" w:sz="4" w:space="0" w:color="auto"/>
              <w:bottom w:val="single" w:sz="4" w:space="0" w:color="auto"/>
              <w:right w:val="single" w:sz="4" w:space="0" w:color="auto"/>
            </w:tcBorders>
          </w:tcPr>
          <w:p w:rsidR="00B72182" w:rsidRPr="002B4991" w:rsidRDefault="00B72182" w:rsidP="00B72182">
            <w:pPr>
              <w:pStyle w:val="Corpodeltesto"/>
              <w:ind w:right="-1"/>
              <w:jc w:val="center"/>
              <w:rPr>
                <w:spacing w:val="-6"/>
              </w:rPr>
            </w:pPr>
            <w:r w:rsidRPr="002B4991">
              <w:rPr>
                <w:spacing w:val="-6"/>
              </w:rPr>
              <w:t>109.571.795</w:t>
            </w:r>
          </w:p>
        </w:tc>
      </w:tr>
      <w:tr w:rsidR="00B72182" w:rsidRPr="008E7B9C" w:rsidTr="00B72182">
        <w:tc>
          <w:tcPr>
            <w:tcW w:w="3544" w:type="dxa"/>
            <w:tcBorders>
              <w:top w:val="single" w:sz="4" w:space="0" w:color="auto"/>
              <w:left w:val="nil"/>
              <w:bottom w:val="nil"/>
              <w:right w:val="nil"/>
            </w:tcBorders>
          </w:tcPr>
          <w:p w:rsidR="00B72182" w:rsidRPr="008E7B9C" w:rsidRDefault="00B72182" w:rsidP="00B72182">
            <w:pPr>
              <w:pStyle w:val="Corpodeltesto"/>
              <w:ind w:right="-1"/>
              <w:rPr>
                <w:spacing w:val="-6"/>
              </w:rPr>
            </w:pPr>
            <w:proofErr w:type="spellStart"/>
            <w:r w:rsidRPr="008E7B9C">
              <w:rPr>
                <w:b/>
                <w:spacing w:val="-6"/>
              </w:rPr>
              <w:t>C.R.O.</w:t>
            </w:r>
            <w:proofErr w:type="spellEnd"/>
          </w:p>
        </w:tc>
        <w:tc>
          <w:tcPr>
            <w:tcW w:w="2552" w:type="dxa"/>
            <w:tcBorders>
              <w:top w:val="single" w:sz="4" w:space="0" w:color="auto"/>
              <w:left w:val="nil"/>
              <w:bottom w:val="nil"/>
              <w:right w:val="nil"/>
            </w:tcBorders>
          </w:tcPr>
          <w:p w:rsidR="00B72182" w:rsidRPr="008E7B9C" w:rsidRDefault="00B72182" w:rsidP="00B72182">
            <w:pPr>
              <w:pStyle w:val="Corpodeltesto"/>
              <w:ind w:right="-1"/>
              <w:jc w:val="center"/>
              <w:rPr>
                <w:b/>
                <w:spacing w:val="-6"/>
              </w:rPr>
            </w:pPr>
            <w:r w:rsidRPr="008E7B9C">
              <w:rPr>
                <w:b/>
                <w:spacing w:val="-6"/>
              </w:rPr>
              <w:t>28,41%</w:t>
            </w:r>
          </w:p>
        </w:tc>
        <w:tc>
          <w:tcPr>
            <w:tcW w:w="2551" w:type="dxa"/>
            <w:tcBorders>
              <w:top w:val="single" w:sz="4" w:space="0" w:color="auto"/>
              <w:left w:val="nil"/>
              <w:bottom w:val="nil"/>
              <w:right w:val="nil"/>
            </w:tcBorders>
          </w:tcPr>
          <w:p w:rsidR="00B72182" w:rsidRPr="00281AE0" w:rsidRDefault="00B72182" w:rsidP="00B72182">
            <w:pPr>
              <w:pStyle w:val="Corpodeltesto"/>
              <w:ind w:right="-1"/>
              <w:jc w:val="center"/>
              <w:rPr>
                <w:b/>
                <w:spacing w:val="-6"/>
              </w:rPr>
            </w:pPr>
            <w:r w:rsidRPr="00281AE0">
              <w:rPr>
                <w:b/>
                <w:spacing w:val="-6"/>
              </w:rPr>
              <w:t>25,40%</w:t>
            </w:r>
          </w:p>
        </w:tc>
      </w:tr>
    </w:tbl>
    <w:p w:rsidR="00B72182" w:rsidRDefault="00B72182" w:rsidP="00F34174">
      <w:pPr>
        <w:autoSpaceDE w:val="0"/>
        <w:autoSpaceDN w:val="0"/>
        <w:adjustRightInd w:val="0"/>
        <w:spacing w:after="0" w:line="240" w:lineRule="auto"/>
        <w:rPr>
          <w:rFonts w:cs="Times New Roman"/>
          <w:b/>
        </w:rPr>
      </w:pPr>
    </w:p>
    <w:p w:rsidR="0039352F" w:rsidRDefault="0039352F">
      <w:pPr>
        <w:rPr>
          <w:rFonts w:cs="Times New Roman"/>
          <w:b/>
        </w:rPr>
      </w:pPr>
      <w:r>
        <w:rPr>
          <w:rFonts w:cs="Times New Roman"/>
          <w:b/>
        </w:rPr>
        <w:br w:type="page"/>
      </w:r>
    </w:p>
    <w:p w:rsidR="0039352F" w:rsidRDefault="0039352F" w:rsidP="00F34174">
      <w:pPr>
        <w:autoSpaceDE w:val="0"/>
        <w:autoSpaceDN w:val="0"/>
        <w:adjustRightInd w:val="0"/>
        <w:spacing w:after="0" w:line="240" w:lineRule="auto"/>
        <w:rPr>
          <w:rFonts w:cs="Times New Roman"/>
          <w:b/>
        </w:rPr>
      </w:pPr>
    </w:p>
    <w:p w:rsidR="00927899" w:rsidRDefault="00927899" w:rsidP="001B0D30">
      <w:pPr>
        <w:jc w:val="both"/>
        <w:rPr>
          <w:b/>
          <w:sz w:val="28"/>
          <w:szCs w:val="28"/>
        </w:rPr>
      </w:pPr>
      <w:r>
        <w:rPr>
          <w:b/>
          <w:sz w:val="28"/>
          <w:szCs w:val="28"/>
        </w:rPr>
        <w:t xml:space="preserve">4 </w:t>
      </w:r>
      <w:r w:rsidR="001D4793" w:rsidRPr="00927899">
        <w:rPr>
          <w:b/>
          <w:sz w:val="28"/>
          <w:szCs w:val="28"/>
        </w:rPr>
        <w:t>Gestione per budget</w:t>
      </w:r>
      <w:r w:rsidR="00E976F7">
        <w:rPr>
          <w:b/>
          <w:sz w:val="28"/>
          <w:szCs w:val="28"/>
        </w:rPr>
        <w:fldChar w:fldCharType="begin"/>
      </w:r>
      <w:r w:rsidR="00F47B33">
        <w:instrText xml:space="preserve"> XE "</w:instrText>
      </w:r>
      <w:r w:rsidR="00F47B33" w:rsidRPr="005661A4">
        <w:rPr>
          <w:b/>
          <w:sz w:val="28"/>
          <w:szCs w:val="28"/>
        </w:rPr>
        <w:instrText>4 Gestione per budget</w:instrText>
      </w:r>
      <w:r w:rsidR="00F47B33">
        <w:instrText xml:space="preserve">" </w:instrText>
      </w:r>
      <w:r w:rsidR="00E976F7">
        <w:rPr>
          <w:b/>
          <w:sz w:val="28"/>
          <w:szCs w:val="28"/>
        </w:rPr>
        <w:fldChar w:fldCharType="end"/>
      </w:r>
    </w:p>
    <w:p w:rsidR="00927899" w:rsidRDefault="00927899" w:rsidP="00927899">
      <w:pPr>
        <w:pStyle w:val="Paragrafoelenco"/>
        <w:autoSpaceDE w:val="0"/>
        <w:autoSpaceDN w:val="0"/>
        <w:adjustRightInd w:val="0"/>
        <w:spacing w:after="0" w:line="240" w:lineRule="auto"/>
        <w:ind w:left="0"/>
        <w:rPr>
          <w:b/>
          <w:sz w:val="26"/>
          <w:szCs w:val="26"/>
        </w:rPr>
      </w:pPr>
      <w:r>
        <w:rPr>
          <w:b/>
          <w:sz w:val="26"/>
          <w:szCs w:val="26"/>
        </w:rPr>
        <w:t xml:space="preserve">4.1 </w:t>
      </w:r>
      <w:r w:rsidR="009030D0" w:rsidRPr="00927899">
        <w:rPr>
          <w:b/>
          <w:sz w:val="26"/>
          <w:szCs w:val="26"/>
        </w:rPr>
        <w:t>Definizione degli obiettivi</w:t>
      </w:r>
      <w:r w:rsidR="00E976F7">
        <w:rPr>
          <w:b/>
          <w:sz w:val="26"/>
          <w:szCs w:val="26"/>
        </w:rPr>
        <w:fldChar w:fldCharType="begin"/>
      </w:r>
      <w:r w:rsidR="00F47B33">
        <w:instrText xml:space="preserve"> XE "</w:instrText>
      </w:r>
      <w:r w:rsidR="00F47B33" w:rsidRPr="006F424A">
        <w:rPr>
          <w:b/>
          <w:sz w:val="26"/>
          <w:szCs w:val="26"/>
        </w:rPr>
        <w:instrText>4.1 Definizione degli obiettivi</w:instrText>
      </w:r>
      <w:r w:rsidR="00F47B33">
        <w:instrText xml:space="preserve">" </w:instrText>
      </w:r>
      <w:r w:rsidR="00E976F7">
        <w:rPr>
          <w:b/>
          <w:sz w:val="26"/>
          <w:szCs w:val="26"/>
        </w:rPr>
        <w:fldChar w:fldCharType="end"/>
      </w:r>
    </w:p>
    <w:p w:rsidR="00927899" w:rsidRPr="00927899" w:rsidRDefault="00927899" w:rsidP="005C5CCC">
      <w:pPr>
        <w:pStyle w:val="Default"/>
        <w:jc w:val="both"/>
        <w:rPr>
          <w:rFonts w:asciiTheme="minorHAnsi" w:hAnsiTheme="minorHAnsi" w:cs="Times New Roman"/>
          <w:color w:val="auto"/>
          <w:sz w:val="16"/>
          <w:szCs w:val="16"/>
        </w:rPr>
      </w:pPr>
    </w:p>
    <w:p w:rsidR="008122D5" w:rsidRPr="00EE5D28" w:rsidRDefault="00BA2F7C" w:rsidP="00E85CDD">
      <w:pPr>
        <w:autoSpaceDE w:val="0"/>
        <w:autoSpaceDN w:val="0"/>
        <w:adjustRightInd w:val="0"/>
        <w:spacing w:line="240" w:lineRule="auto"/>
        <w:jc w:val="both"/>
        <w:rPr>
          <w:rFonts w:cs="Times New Roman"/>
          <w:sz w:val="24"/>
          <w:szCs w:val="24"/>
        </w:rPr>
      </w:pPr>
      <w:r w:rsidRPr="00EE5D28">
        <w:rPr>
          <w:rFonts w:cs="Times New Roman"/>
          <w:sz w:val="24"/>
          <w:szCs w:val="24"/>
        </w:rPr>
        <w:t xml:space="preserve">Partendo dagli obiettivi strategici </w:t>
      </w:r>
      <w:r w:rsidR="008122D5" w:rsidRPr="00EE5D28">
        <w:rPr>
          <w:rFonts w:cs="Times New Roman"/>
          <w:sz w:val="24"/>
          <w:szCs w:val="24"/>
        </w:rPr>
        <w:t>definiti</w:t>
      </w:r>
      <w:r w:rsidRPr="00EE5D28">
        <w:rPr>
          <w:rFonts w:cs="Times New Roman"/>
          <w:sz w:val="24"/>
          <w:szCs w:val="24"/>
        </w:rPr>
        <w:t xml:space="preserve"> nel programma annuale, l’Is</w:t>
      </w:r>
      <w:r w:rsidR="007B7AF5" w:rsidRPr="00EE5D28">
        <w:rPr>
          <w:rFonts w:cs="Times New Roman"/>
          <w:sz w:val="24"/>
          <w:szCs w:val="24"/>
        </w:rPr>
        <w:t>t</w:t>
      </w:r>
      <w:r w:rsidRPr="00EE5D28">
        <w:rPr>
          <w:rFonts w:cs="Times New Roman"/>
          <w:sz w:val="24"/>
          <w:szCs w:val="24"/>
        </w:rPr>
        <w:t xml:space="preserve">ituto ha avviato il percorso di budget attraverso il quale i responsabili delle “unità operative” </w:t>
      </w:r>
      <w:r w:rsidR="008122D5" w:rsidRPr="00EE5D28">
        <w:rPr>
          <w:rFonts w:cs="Times New Roman"/>
          <w:sz w:val="24"/>
          <w:szCs w:val="24"/>
        </w:rPr>
        <w:t>sono stati</w:t>
      </w:r>
      <w:r w:rsidRPr="00EE5D28">
        <w:rPr>
          <w:rFonts w:cs="Times New Roman"/>
          <w:sz w:val="24"/>
          <w:szCs w:val="24"/>
        </w:rPr>
        <w:t xml:space="preserve"> portati a conoscenza dell’evoluzione definitiva della programmazione aziendale per il 201</w:t>
      </w:r>
      <w:r w:rsidR="005823B7">
        <w:rPr>
          <w:rFonts w:cs="Times New Roman"/>
          <w:sz w:val="24"/>
          <w:szCs w:val="24"/>
        </w:rPr>
        <w:t>5</w:t>
      </w:r>
      <w:r w:rsidRPr="00EE5D28">
        <w:rPr>
          <w:rFonts w:cs="Times New Roman"/>
          <w:sz w:val="24"/>
          <w:szCs w:val="24"/>
        </w:rPr>
        <w:t xml:space="preserve"> e </w:t>
      </w:r>
      <w:r w:rsidR="008122D5" w:rsidRPr="00EE5D28">
        <w:rPr>
          <w:rFonts w:cs="Times New Roman"/>
          <w:sz w:val="24"/>
          <w:szCs w:val="24"/>
        </w:rPr>
        <w:t xml:space="preserve">hanno </w:t>
      </w:r>
      <w:r w:rsidRPr="00EE5D28">
        <w:rPr>
          <w:rFonts w:cs="Times New Roman"/>
          <w:sz w:val="24"/>
          <w:szCs w:val="24"/>
        </w:rPr>
        <w:t>concerta</w:t>
      </w:r>
      <w:r w:rsidR="008122D5" w:rsidRPr="00EE5D28">
        <w:rPr>
          <w:rFonts w:cs="Times New Roman"/>
          <w:sz w:val="24"/>
          <w:szCs w:val="24"/>
        </w:rPr>
        <w:t>to</w:t>
      </w:r>
      <w:r w:rsidRPr="00EE5D28">
        <w:rPr>
          <w:rFonts w:cs="Times New Roman"/>
          <w:sz w:val="24"/>
          <w:szCs w:val="24"/>
        </w:rPr>
        <w:t xml:space="preserve"> con </w:t>
      </w:r>
      <w:r w:rsidR="008122D5" w:rsidRPr="00EE5D28">
        <w:rPr>
          <w:rFonts w:cs="Times New Roman"/>
          <w:sz w:val="24"/>
          <w:szCs w:val="24"/>
        </w:rPr>
        <w:t>l</w:t>
      </w:r>
      <w:r w:rsidRPr="00EE5D28">
        <w:rPr>
          <w:rFonts w:cs="Times New Roman"/>
          <w:sz w:val="24"/>
          <w:szCs w:val="24"/>
        </w:rPr>
        <w:t>e direzioni dell’Istituto le modalità più adeguate per conseguire gli obiettivi a questo assegnati con le risorse disponibili</w:t>
      </w:r>
      <w:r w:rsidR="008122D5" w:rsidRPr="00EE5D28">
        <w:rPr>
          <w:rFonts w:cs="Times New Roman"/>
          <w:sz w:val="24"/>
          <w:szCs w:val="24"/>
        </w:rPr>
        <w:t xml:space="preserve">. </w:t>
      </w:r>
    </w:p>
    <w:p w:rsidR="00051DB7" w:rsidRPr="00EE5D28" w:rsidRDefault="00051DB7" w:rsidP="00E85CDD">
      <w:pPr>
        <w:autoSpaceDE w:val="0"/>
        <w:autoSpaceDN w:val="0"/>
        <w:adjustRightInd w:val="0"/>
        <w:spacing w:line="240" w:lineRule="auto"/>
        <w:jc w:val="both"/>
        <w:rPr>
          <w:rFonts w:cs="Times New Roman"/>
          <w:sz w:val="24"/>
          <w:szCs w:val="24"/>
        </w:rPr>
      </w:pPr>
      <w:r w:rsidRPr="00EE5D28">
        <w:rPr>
          <w:rFonts w:cs="Times New Roman"/>
          <w:sz w:val="24"/>
          <w:szCs w:val="24"/>
        </w:rPr>
        <w:t>Il percorso si è sviluppato secondo la seguente cronologia:</w:t>
      </w:r>
    </w:p>
    <w:p w:rsidR="00EE5D28" w:rsidRPr="005823B7" w:rsidRDefault="005823B7" w:rsidP="00E85CDD">
      <w:pPr>
        <w:numPr>
          <w:ilvl w:val="0"/>
          <w:numId w:val="2"/>
        </w:numPr>
        <w:tabs>
          <w:tab w:val="clear" w:pos="1428"/>
        </w:tabs>
        <w:spacing w:after="0" w:line="240" w:lineRule="auto"/>
        <w:ind w:left="630" w:hanging="270"/>
        <w:jc w:val="both"/>
        <w:rPr>
          <w:spacing w:val="-6"/>
          <w:sz w:val="24"/>
          <w:szCs w:val="24"/>
        </w:rPr>
      </w:pPr>
      <w:r>
        <w:rPr>
          <w:spacing w:val="-6"/>
          <w:sz w:val="24"/>
          <w:szCs w:val="24"/>
        </w:rPr>
        <w:t xml:space="preserve">predisposizione della proposta di </w:t>
      </w:r>
      <w:r w:rsidR="00EE5D28" w:rsidRPr="005823B7">
        <w:rPr>
          <w:spacing w:val="-6"/>
          <w:sz w:val="24"/>
          <w:szCs w:val="24"/>
        </w:rPr>
        <w:t>schede di budget 201</w:t>
      </w:r>
      <w:r w:rsidRPr="005823B7">
        <w:rPr>
          <w:spacing w:val="-6"/>
          <w:sz w:val="24"/>
          <w:szCs w:val="24"/>
        </w:rPr>
        <w:t>5</w:t>
      </w:r>
      <w:r w:rsidR="00EE5D28" w:rsidRPr="005823B7">
        <w:rPr>
          <w:spacing w:val="-6"/>
          <w:sz w:val="24"/>
          <w:szCs w:val="24"/>
        </w:rPr>
        <w:t xml:space="preserve"> </w:t>
      </w:r>
      <w:r w:rsidR="002B12CE">
        <w:rPr>
          <w:spacing w:val="-6"/>
          <w:sz w:val="24"/>
          <w:szCs w:val="24"/>
        </w:rPr>
        <w:t xml:space="preserve">da parte della direzione strategica </w:t>
      </w:r>
      <w:r w:rsidR="00EE5D28" w:rsidRPr="005823B7">
        <w:rPr>
          <w:spacing w:val="-6"/>
          <w:sz w:val="24"/>
          <w:szCs w:val="24"/>
        </w:rPr>
        <w:t>e</w:t>
      </w:r>
      <w:r w:rsidRPr="005823B7">
        <w:rPr>
          <w:spacing w:val="-6"/>
          <w:sz w:val="24"/>
          <w:szCs w:val="24"/>
        </w:rPr>
        <w:t xml:space="preserve"> </w:t>
      </w:r>
      <w:r>
        <w:rPr>
          <w:spacing w:val="-6"/>
          <w:sz w:val="24"/>
          <w:szCs w:val="24"/>
        </w:rPr>
        <w:t>s</w:t>
      </w:r>
      <w:r w:rsidR="00EE5D28" w:rsidRPr="005823B7">
        <w:rPr>
          <w:spacing w:val="-6"/>
          <w:sz w:val="24"/>
          <w:szCs w:val="24"/>
        </w:rPr>
        <w:t>volgimento de</w:t>
      </w:r>
      <w:r>
        <w:rPr>
          <w:spacing w:val="-6"/>
          <w:sz w:val="24"/>
          <w:szCs w:val="24"/>
        </w:rPr>
        <w:t xml:space="preserve">gli </w:t>
      </w:r>
      <w:r w:rsidR="00EE5D28" w:rsidRPr="005823B7">
        <w:rPr>
          <w:spacing w:val="-6"/>
          <w:sz w:val="24"/>
          <w:szCs w:val="24"/>
        </w:rPr>
        <w:t xml:space="preserve">incontri di </w:t>
      </w:r>
      <w:r>
        <w:rPr>
          <w:spacing w:val="-6"/>
          <w:sz w:val="24"/>
          <w:szCs w:val="24"/>
        </w:rPr>
        <w:t>negoziazione tra la direzione strategica e le strutture operative aggregate per dipartimento nelle giornate del 31 marzo e 2 aprile 2015</w:t>
      </w:r>
      <w:r w:rsidR="00EE5D28" w:rsidRPr="005823B7">
        <w:rPr>
          <w:spacing w:val="-6"/>
          <w:sz w:val="24"/>
          <w:szCs w:val="24"/>
        </w:rPr>
        <w:t>;</w:t>
      </w:r>
    </w:p>
    <w:p w:rsidR="00EE5D28" w:rsidRPr="00EE5D28" w:rsidRDefault="00EE5D28" w:rsidP="00E85CDD">
      <w:pPr>
        <w:numPr>
          <w:ilvl w:val="0"/>
          <w:numId w:val="2"/>
        </w:numPr>
        <w:tabs>
          <w:tab w:val="clear" w:pos="1428"/>
        </w:tabs>
        <w:spacing w:after="0" w:line="240" w:lineRule="auto"/>
        <w:ind w:left="630" w:hanging="270"/>
        <w:jc w:val="both"/>
        <w:rPr>
          <w:spacing w:val="-6"/>
          <w:sz w:val="24"/>
          <w:szCs w:val="24"/>
        </w:rPr>
      </w:pPr>
      <w:r w:rsidRPr="00EE5D28">
        <w:rPr>
          <w:spacing w:val="-6"/>
          <w:sz w:val="24"/>
          <w:szCs w:val="24"/>
        </w:rPr>
        <w:t>predisposizione dell</w:t>
      </w:r>
      <w:r w:rsidR="005823B7">
        <w:rPr>
          <w:spacing w:val="-6"/>
          <w:sz w:val="24"/>
          <w:szCs w:val="24"/>
        </w:rPr>
        <w:t xml:space="preserve">e schede di budget </w:t>
      </w:r>
      <w:r w:rsidRPr="00EE5D28">
        <w:rPr>
          <w:spacing w:val="-6"/>
          <w:sz w:val="24"/>
          <w:szCs w:val="24"/>
        </w:rPr>
        <w:t xml:space="preserve">da parte della direzione strategica; </w:t>
      </w:r>
    </w:p>
    <w:p w:rsidR="005823B7" w:rsidRDefault="005823B7" w:rsidP="005823B7">
      <w:pPr>
        <w:numPr>
          <w:ilvl w:val="0"/>
          <w:numId w:val="2"/>
        </w:numPr>
        <w:tabs>
          <w:tab w:val="clear" w:pos="1428"/>
        </w:tabs>
        <w:spacing w:after="0" w:line="240" w:lineRule="auto"/>
        <w:ind w:left="630" w:hanging="270"/>
        <w:jc w:val="both"/>
        <w:rPr>
          <w:spacing w:val="-6"/>
          <w:sz w:val="24"/>
          <w:szCs w:val="24"/>
        </w:rPr>
      </w:pPr>
      <w:r w:rsidRPr="00EE5D28">
        <w:rPr>
          <w:spacing w:val="-6"/>
          <w:sz w:val="24"/>
          <w:szCs w:val="24"/>
        </w:rPr>
        <w:t>predisposizione da parte delle direzioni delle schede di budget delle strutture/uffici delle tecnostrutture sanitaria, scientifica e amministrativa e delle funzioni di staff del Direttore Generale (nel mese di aprile);</w:t>
      </w:r>
    </w:p>
    <w:p w:rsidR="00B72BA9" w:rsidRPr="00B72BA9" w:rsidRDefault="00EE5D28" w:rsidP="00E85CDD">
      <w:pPr>
        <w:numPr>
          <w:ilvl w:val="0"/>
          <w:numId w:val="2"/>
        </w:numPr>
        <w:tabs>
          <w:tab w:val="clear" w:pos="1428"/>
        </w:tabs>
        <w:spacing w:after="0" w:line="240" w:lineRule="auto"/>
        <w:ind w:left="630" w:hanging="270"/>
        <w:jc w:val="both"/>
        <w:rPr>
          <w:spacing w:val="-6"/>
          <w:sz w:val="24"/>
          <w:szCs w:val="24"/>
        </w:rPr>
      </w:pPr>
      <w:r w:rsidRPr="00B72BA9">
        <w:rPr>
          <w:spacing w:val="-6"/>
          <w:sz w:val="24"/>
          <w:szCs w:val="24"/>
        </w:rPr>
        <w:t xml:space="preserve">trasmissione </w:t>
      </w:r>
      <w:r w:rsidR="00B72BA9">
        <w:rPr>
          <w:spacing w:val="-6"/>
          <w:sz w:val="24"/>
          <w:szCs w:val="24"/>
        </w:rPr>
        <w:t xml:space="preserve">con nota </w:t>
      </w:r>
      <w:proofErr w:type="spellStart"/>
      <w:r w:rsidR="00B72BA9">
        <w:rPr>
          <w:spacing w:val="-6"/>
          <w:sz w:val="24"/>
          <w:szCs w:val="24"/>
        </w:rPr>
        <w:t>prot</w:t>
      </w:r>
      <w:proofErr w:type="spellEnd"/>
      <w:r w:rsidR="00B72BA9">
        <w:rPr>
          <w:spacing w:val="-6"/>
          <w:sz w:val="24"/>
          <w:szCs w:val="24"/>
        </w:rPr>
        <w:t xml:space="preserve">. 7092/CG </w:t>
      </w:r>
      <w:r w:rsidRPr="00B72BA9">
        <w:rPr>
          <w:spacing w:val="-6"/>
          <w:sz w:val="24"/>
          <w:szCs w:val="24"/>
        </w:rPr>
        <w:t xml:space="preserve">delle schede ai responsabili di budget con invito </w:t>
      </w:r>
      <w:r w:rsidR="00B72BA9" w:rsidRPr="00B72BA9">
        <w:rPr>
          <w:spacing w:val="-6"/>
          <w:sz w:val="24"/>
          <w:szCs w:val="24"/>
        </w:rPr>
        <w:t>a restituirne copia della documentazione inviata:</w:t>
      </w:r>
    </w:p>
    <w:p w:rsidR="00B72BA9" w:rsidRPr="00B72BA9" w:rsidRDefault="00B72BA9" w:rsidP="008A29F1">
      <w:pPr>
        <w:pStyle w:val="Paragrafoelenco"/>
        <w:numPr>
          <w:ilvl w:val="0"/>
          <w:numId w:val="13"/>
        </w:numPr>
        <w:spacing w:after="0" w:line="240" w:lineRule="auto"/>
        <w:jc w:val="both"/>
        <w:rPr>
          <w:spacing w:val="-6"/>
          <w:sz w:val="24"/>
          <w:szCs w:val="24"/>
        </w:rPr>
      </w:pPr>
      <w:r w:rsidRPr="00B72BA9">
        <w:rPr>
          <w:spacing w:val="-6"/>
          <w:sz w:val="24"/>
          <w:szCs w:val="24"/>
        </w:rPr>
        <w:t>scheda di budget firmata dal responsabile di struttura e dai referenti organizzativi infermieristici e tecnici</w:t>
      </w:r>
    </w:p>
    <w:p w:rsidR="00B72BA9" w:rsidRPr="00B72BA9" w:rsidRDefault="00B72BA9" w:rsidP="008A29F1">
      <w:pPr>
        <w:pStyle w:val="Paragrafoelenco"/>
        <w:numPr>
          <w:ilvl w:val="0"/>
          <w:numId w:val="13"/>
        </w:numPr>
        <w:spacing w:after="0" w:line="240" w:lineRule="auto"/>
        <w:jc w:val="both"/>
        <w:rPr>
          <w:spacing w:val="-6"/>
          <w:sz w:val="24"/>
          <w:szCs w:val="24"/>
        </w:rPr>
      </w:pPr>
      <w:r w:rsidRPr="00B72BA9">
        <w:rPr>
          <w:spacing w:val="-6"/>
          <w:sz w:val="24"/>
          <w:szCs w:val="24"/>
        </w:rPr>
        <w:t>modello di presa visione firmato d</w:t>
      </w:r>
      <w:r>
        <w:rPr>
          <w:spacing w:val="-6"/>
          <w:sz w:val="24"/>
          <w:szCs w:val="24"/>
        </w:rPr>
        <w:t>ai dirigenti e dai coordinatori;</w:t>
      </w:r>
    </w:p>
    <w:p w:rsidR="00051DB7" w:rsidRPr="00EE5D28" w:rsidRDefault="00EE5D28" w:rsidP="00E85CDD">
      <w:pPr>
        <w:numPr>
          <w:ilvl w:val="0"/>
          <w:numId w:val="2"/>
        </w:numPr>
        <w:tabs>
          <w:tab w:val="clear" w:pos="1428"/>
        </w:tabs>
        <w:spacing w:after="0" w:line="240" w:lineRule="auto"/>
        <w:ind w:left="630" w:hanging="270"/>
        <w:jc w:val="both"/>
        <w:rPr>
          <w:spacing w:val="-6"/>
          <w:sz w:val="24"/>
          <w:szCs w:val="24"/>
        </w:rPr>
      </w:pPr>
      <w:r>
        <w:rPr>
          <w:spacing w:val="-6"/>
          <w:sz w:val="24"/>
          <w:szCs w:val="24"/>
        </w:rPr>
        <w:t>p</w:t>
      </w:r>
      <w:r w:rsidR="00051DB7" w:rsidRPr="00EE5D28">
        <w:rPr>
          <w:spacing w:val="-6"/>
          <w:sz w:val="24"/>
          <w:szCs w:val="24"/>
        </w:rPr>
        <w:t>resa atto conclusione del percorso di definizione del budget 201</w:t>
      </w:r>
      <w:r w:rsidR="00B72BA9">
        <w:rPr>
          <w:spacing w:val="-6"/>
          <w:sz w:val="24"/>
          <w:szCs w:val="24"/>
        </w:rPr>
        <w:t>5</w:t>
      </w:r>
      <w:r w:rsidR="00D646CB" w:rsidRPr="00EE5D28">
        <w:rPr>
          <w:spacing w:val="-6"/>
          <w:sz w:val="24"/>
          <w:szCs w:val="24"/>
        </w:rPr>
        <w:t xml:space="preserve"> </w:t>
      </w:r>
      <w:r w:rsidR="00051DB7" w:rsidRPr="00EE5D28">
        <w:rPr>
          <w:spacing w:val="-6"/>
          <w:sz w:val="24"/>
          <w:szCs w:val="24"/>
        </w:rPr>
        <w:t xml:space="preserve">(delibera del direttore generale n. </w:t>
      </w:r>
      <w:r>
        <w:rPr>
          <w:spacing w:val="-6"/>
          <w:sz w:val="24"/>
          <w:szCs w:val="24"/>
        </w:rPr>
        <w:t>10</w:t>
      </w:r>
      <w:r w:rsidR="00B72BA9">
        <w:rPr>
          <w:spacing w:val="-6"/>
          <w:sz w:val="24"/>
          <w:szCs w:val="24"/>
        </w:rPr>
        <w:t>3</w:t>
      </w:r>
      <w:r w:rsidR="00051DB7" w:rsidRPr="00EE5D28">
        <w:rPr>
          <w:spacing w:val="-6"/>
          <w:sz w:val="24"/>
          <w:szCs w:val="24"/>
        </w:rPr>
        <w:t xml:space="preserve"> del </w:t>
      </w:r>
      <w:r>
        <w:rPr>
          <w:spacing w:val="-6"/>
          <w:sz w:val="24"/>
          <w:szCs w:val="24"/>
        </w:rPr>
        <w:t>2</w:t>
      </w:r>
      <w:r w:rsidR="00B72BA9">
        <w:rPr>
          <w:spacing w:val="-6"/>
          <w:sz w:val="24"/>
          <w:szCs w:val="24"/>
        </w:rPr>
        <w:t>1</w:t>
      </w:r>
      <w:r w:rsidR="00051DB7" w:rsidRPr="00EE5D28">
        <w:rPr>
          <w:spacing w:val="-6"/>
          <w:sz w:val="24"/>
          <w:szCs w:val="24"/>
        </w:rPr>
        <w:t>.04.201</w:t>
      </w:r>
      <w:r w:rsidR="00B72BA9">
        <w:rPr>
          <w:spacing w:val="-6"/>
          <w:sz w:val="24"/>
          <w:szCs w:val="24"/>
        </w:rPr>
        <w:t>5</w:t>
      </w:r>
      <w:r w:rsidR="00051DB7" w:rsidRPr="00EE5D28">
        <w:rPr>
          <w:spacing w:val="-6"/>
          <w:sz w:val="24"/>
          <w:szCs w:val="24"/>
        </w:rPr>
        <w:t>)</w:t>
      </w:r>
      <w:r w:rsidR="00D646CB" w:rsidRPr="00EE5D28">
        <w:rPr>
          <w:spacing w:val="-6"/>
          <w:sz w:val="24"/>
          <w:szCs w:val="24"/>
        </w:rPr>
        <w:t>.</w:t>
      </w:r>
    </w:p>
    <w:p w:rsidR="008C6F0B" w:rsidRDefault="008C6F0B" w:rsidP="00E85CDD">
      <w:pPr>
        <w:pStyle w:val="Default"/>
        <w:jc w:val="both"/>
        <w:rPr>
          <w:rFonts w:asciiTheme="minorHAnsi" w:hAnsiTheme="minorHAnsi"/>
        </w:rPr>
      </w:pPr>
    </w:p>
    <w:p w:rsidR="001823E4" w:rsidRDefault="00DB325D" w:rsidP="00E85CDD">
      <w:pPr>
        <w:widowControl w:val="0"/>
        <w:autoSpaceDE w:val="0"/>
        <w:autoSpaceDN w:val="0"/>
        <w:adjustRightInd w:val="0"/>
        <w:spacing w:after="0" w:line="240" w:lineRule="auto"/>
        <w:jc w:val="both"/>
        <w:rPr>
          <w:rFonts w:cs="Times New Roman"/>
          <w:sz w:val="24"/>
          <w:szCs w:val="24"/>
        </w:rPr>
      </w:pPr>
      <w:r>
        <w:rPr>
          <w:rFonts w:cs="Times New Roman"/>
          <w:sz w:val="24"/>
          <w:szCs w:val="24"/>
        </w:rPr>
        <w:t>G</w:t>
      </w:r>
      <w:r w:rsidR="001823E4" w:rsidRPr="001823E4">
        <w:rPr>
          <w:rFonts w:cs="Times New Roman"/>
          <w:sz w:val="24"/>
          <w:szCs w:val="24"/>
        </w:rPr>
        <w:t>li obiettivi/progetti contenuti nelle schede di budget</w:t>
      </w:r>
      <w:r>
        <w:rPr>
          <w:rFonts w:cs="Times New Roman"/>
          <w:sz w:val="24"/>
          <w:szCs w:val="24"/>
        </w:rPr>
        <w:t xml:space="preserve"> </w:t>
      </w:r>
      <w:r w:rsidRPr="00B357BB">
        <w:rPr>
          <w:rFonts w:cs="Times New Roman"/>
          <w:sz w:val="24"/>
          <w:szCs w:val="24"/>
        </w:rPr>
        <w:t>contengono obiettivi quantitativi e qual</w:t>
      </w:r>
      <w:r>
        <w:rPr>
          <w:rFonts w:cs="Times New Roman"/>
          <w:sz w:val="24"/>
          <w:szCs w:val="24"/>
        </w:rPr>
        <w:t>itativi</w:t>
      </w:r>
      <w:r w:rsidR="009B0A2B">
        <w:rPr>
          <w:rFonts w:cs="Times New Roman"/>
          <w:sz w:val="24"/>
          <w:szCs w:val="24"/>
        </w:rPr>
        <w:t>,</w:t>
      </w:r>
      <w:r>
        <w:rPr>
          <w:rFonts w:cs="Times New Roman"/>
          <w:sz w:val="24"/>
          <w:szCs w:val="24"/>
        </w:rPr>
        <w:t xml:space="preserve"> </w:t>
      </w:r>
      <w:r w:rsidR="001823E4" w:rsidRPr="001823E4">
        <w:rPr>
          <w:rFonts w:cs="Times New Roman"/>
          <w:sz w:val="24"/>
          <w:szCs w:val="24"/>
        </w:rPr>
        <w:t>rappresentano la prosecuzione delle azioni intraprese negli anni precedenti e sono coerenti con le finalità contenute nell</w:t>
      </w:r>
      <w:r>
        <w:rPr>
          <w:rFonts w:cs="Times New Roman"/>
          <w:sz w:val="24"/>
          <w:szCs w:val="24"/>
        </w:rPr>
        <w:t>a programmazione aziendale 201</w:t>
      </w:r>
      <w:r w:rsidR="00B72BA9">
        <w:rPr>
          <w:rFonts w:cs="Times New Roman"/>
          <w:sz w:val="24"/>
          <w:szCs w:val="24"/>
        </w:rPr>
        <w:t>5</w:t>
      </w:r>
      <w:r>
        <w:rPr>
          <w:rFonts w:cs="Times New Roman"/>
          <w:sz w:val="24"/>
          <w:szCs w:val="24"/>
        </w:rPr>
        <w:t>.</w:t>
      </w:r>
    </w:p>
    <w:p w:rsidR="009B0A2B" w:rsidRPr="009B0A2B" w:rsidRDefault="009B0A2B" w:rsidP="00E85CDD">
      <w:pPr>
        <w:widowControl w:val="0"/>
        <w:autoSpaceDE w:val="0"/>
        <w:autoSpaceDN w:val="0"/>
        <w:adjustRightInd w:val="0"/>
        <w:spacing w:after="0" w:line="240" w:lineRule="auto"/>
        <w:jc w:val="both"/>
        <w:rPr>
          <w:rFonts w:cs="Times New Roman"/>
          <w:sz w:val="24"/>
          <w:szCs w:val="24"/>
        </w:rPr>
      </w:pPr>
      <w:r w:rsidRPr="009B0A2B">
        <w:rPr>
          <w:rFonts w:cs="Times New Roman"/>
          <w:sz w:val="24"/>
          <w:szCs w:val="24"/>
        </w:rPr>
        <w:t>Nelle diverse schede di budget gli obiettivi strategici aziendali sono stati declinati in obiettivi operativi distinti in obiettivi incentivati (il raggiungimento influisce sulla valutazione individuale e sulla retribuzione di risultato in base ai pesi assegnati) e in obiettivi di mandato (il raggiungimento influisce solo sulla valutazione individuale del personale).</w:t>
      </w:r>
    </w:p>
    <w:p w:rsidR="003634D0" w:rsidRPr="003634D0" w:rsidRDefault="00B72BA9" w:rsidP="00E85CDD">
      <w:pPr>
        <w:pStyle w:val="Default"/>
        <w:jc w:val="both"/>
        <w:rPr>
          <w:rFonts w:asciiTheme="minorHAnsi" w:hAnsiTheme="minorHAnsi" w:cs="Times New Roman"/>
          <w:color w:val="auto"/>
        </w:rPr>
      </w:pPr>
      <w:r>
        <w:rPr>
          <w:rFonts w:asciiTheme="minorHAnsi" w:hAnsiTheme="minorHAnsi" w:cs="Times New Roman"/>
          <w:color w:val="auto"/>
        </w:rPr>
        <w:t xml:space="preserve">In continuità con il budget 2014, sono </w:t>
      </w:r>
      <w:r w:rsidR="003634D0" w:rsidRPr="003634D0">
        <w:rPr>
          <w:rFonts w:asciiTheme="minorHAnsi" w:hAnsiTheme="minorHAnsi" w:cs="Times New Roman"/>
          <w:color w:val="auto"/>
        </w:rPr>
        <w:t>stati</w:t>
      </w:r>
      <w:r>
        <w:rPr>
          <w:rFonts w:asciiTheme="minorHAnsi" w:hAnsiTheme="minorHAnsi" w:cs="Times New Roman"/>
          <w:color w:val="auto"/>
        </w:rPr>
        <w:t xml:space="preserve"> previsti</w:t>
      </w:r>
      <w:r w:rsidR="003634D0" w:rsidRPr="003634D0">
        <w:rPr>
          <w:rFonts w:asciiTheme="minorHAnsi" w:hAnsiTheme="minorHAnsi" w:cs="Times New Roman"/>
          <w:color w:val="auto"/>
        </w:rPr>
        <w:t xml:space="preserve"> due obiettivi che rappresentano la precondizione per la valutazione positiva di tutti gli altri obiettivi incentivati:</w:t>
      </w:r>
    </w:p>
    <w:p w:rsidR="003634D0" w:rsidRPr="003634D0" w:rsidRDefault="003634D0" w:rsidP="00E85CDD">
      <w:pPr>
        <w:pStyle w:val="Default"/>
        <w:numPr>
          <w:ilvl w:val="0"/>
          <w:numId w:val="4"/>
        </w:numPr>
        <w:jc w:val="both"/>
        <w:rPr>
          <w:rFonts w:asciiTheme="minorHAnsi" w:hAnsiTheme="minorHAnsi" w:cs="Times New Roman"/>
          <w:color w:val="auto"/>
        </w:rPr>
      </w:pPr>
      <w:r w:rsidRPr="003634D0">
        <w:rPr>
          <w:rFonts w:asciiTheme="minorHAnsi" w:hAnsiTheme="minorHAnsi" w:cs="Times New Roman"/>
          <w:color w:val="auto"/>
        </w:rPr>
        <w:t>contenimento dei consumi di prodotti farmaceutici per i direttori delle strutture di oncologia</w:t>
      </w:r>
      <w:r w:rsidR="00375592">
        <w:rPr>
          <w:rFonts w:asciiTheme="minorHAnsi" w:hAnsiTheme="minorHAnsi" w:cs="Times New Roman"/>
          <w:color w:val="auto"/>
        </w:rPr>
        <w:t xml:space="preserve"> e Terapia Cellulare e Chemioterapia ad Alte Dosi</w:t>
      </w:r>
      <w:r w:rsidRPr="003634D0">
        <w:rPr>
          <w:rFonts w:asciiTheme="minorHAnsi" w:hAnsiTheme="minorHAnsi" w:cs="Times New Roman"/>
          <w:color w:val="auto"/>
        </w:rPr>
        <w:t xml:space="preserve">; </w:t>
      </w:r>
    </w:p>
    <w:p w:rsidR="003634D0" w:rsidRPr="003634D0" w:rsidRDefault="003634D0" w:rsidP="00E85CDD">
      <w:pPr>
        <w:pStyle w:val="Default"/>
        <w:numPr>
          <w:ilvl w:val="0"/>
          <w:numId w:val="4"/>
        </w:numPr>
        <w:jc w:val="both"/>
        <w:rPr>
          <w:rFonts w:asciiTheme="minorHAnsi" w:hAnsiTheme="minorHAnsi" w:cs="Times New Roman"/>
          <w:color w:val="auto"/>
        </w:rPr>
      </w:pPr>
      <w:r w:rsidRPr="003634D0">
        <w:rPr>
          <w:rFonts w:asciiTheme="minorHAnsi" w:hAnsiTheme="minorHAnsi" w:cs="Times New Roman"/>
          <w:color w:val="auto"/>
        </w:rPr>
        <w:t>rispetto dell’equilibrio di bilancio per i</w:t>
      </w:r>
      <w:r w:rsidR="00E2170F">
        <w:rPr>
          <w:rFonts w:asciiTheme="minorHAnsi" w:hAnsiTheme="minorHAnsi" w:cs="Times New Roman"/>
          <w:color w:val="auto"/>
        </w:rPr>
        <w:t xml:space="preserve"> direttori delle altre strutture complesse.</w:t>
      </w:r>
    </w:p>
    <w:p w:rsidR="009642A9" w:rsidRPr="00A100B4" w:rsidRDefault="009642A9" w:rsidP="00E85CDD">
      <w:pPr>
        <w:autoSpaceDE w:val="0"/>
        <w:autoSpaceDN w:val="0"/>
        <w:adjustRightInd w:val="0"/>
        <w:spacing w:after="0" w:line="240" w:lineRule="auto"/>
        <w:ind w:left="2149"/>
        <w:jc w:val="both"/>
        <w:rPr>
          <w:rFonts w:ascii="Times New Roman" w:hAnsi="Times New Roman" w:cs="Times New Roman"/>
          <w:spacing w:val="-6"/>
          <w:sz w:val="24"/>
          <w:szCs w:val="24"/>
        </w:rPr>
      </w:pPr>
    </w:p>
    <w:p w:rsidR="00066759" w:rsidRPr="006C5A3F" w:rsidRDefault="00B72BA9" w:rsidP="00801FD4">
      <w:pPr>
        <w:widowControl w:val="0"/>
        <w:autoSpaceDE w:val="0"/>
        <w:autoSpaceDN w:val="0"/>
        <w:adjustRightInd w:val="0"/>
        <w:spacing w:after="0" w:line="240" w:lineRule="auto"/>
        <w:jc w:val="both"/>
        <w:rPr>
          <w:rFonts w:cs="Times New Roman"/>
          <w:sz w:val="24"/>
          <w:szCs w:val="24"/>
        </w:rPr>
      </w:pPr>
      <w:r>
        <w:rPr>
          <w:rFonts w:cs="Times New Roman"/>
          <w:sz w:val="24"/>
          <w:szCs w:val="24"/>
        </w:rPr>
        <w:t xml:space="preserve">Nel corso dell’anno sono stati </w:t>
      </w:r>
      <w:r w:rsidR="00066759" w:rsidRPr="006C5A3F">
        <w:rPr>
          <w:rFonts w:cs="Times New Roman"/>
          <w:sz w:val="24"/>
          <w:szCs w:val="24"/>
        </w:rPr>
        <w:t xml:space="preserve">individuati e assegnati alla varie strutture operative/direzioni/dipartimenti gli obiettivi </w:t>
      </w:r>
      <w:r w:rsidR="00BD464A" w:rsidRPr="006C5A3F">
        <w:rPr>
          <w:rFonts w:cs="Times New Roman"/>
          <w:sz w:val="24"/>
          <w:szCs w:val="24"/>
        </w:rPr>
        <w:t xml:space="preserve">correlati alle risorse aggiuntive regionali </w:t>
      </w:r>
      <w:r w:rsidR="00066759" w:rsidRPr="006C5A3F">
        <w:rPr>
          <w:rFonts w:cs="Times New Roman"/>
          <w:sz w:val="24"/>
          <w:szCs w:val="24"/>
        </w:rPr>
        <w:t>per l’anno 201</w:t>
      </w:r>
      <w:r w:rsidR="00801FD4">
        <w:rPr>
          <w:rFonts w:cs="Times New Roman"/>
          <w:sz w:val="24"/>
          <w:szCs w:val="24"/>
        </w:rPr>
        <w:t xml:space="preserve">5 </w:t>
      </w:r>
      <w:r w:rsidR="00066759" w:rsidRPr="006C5A3F">
        <w:rPr>
          <w:rFonts w:cs="Times New Roman"/>
          <w:sz w:val="24"/>
          <w:szCs w:val="24"/>
        </w:rPr>
        <w:t>nell’ambito delle aree prioritarie individuate dalla Regione</w:t>
      </w:r>
      <w:r w:rsidR="00801FD4">
        <w:rPr>
          <w:rFonts w:cs="Times New Roman"/>
          <w:sz w:val="24"/>
          <w:szCs w:val="24"/>
        </w:rPr>
        <w:t xml:space="preserve"> e i</w:t>
      </w:r>
      <w:r w:rsidR="00BD464A" w:rsidRPr="006C5A3F">
        <w:rPr>
          <w:rFonts w:cs="Times New Roman"/>
          <w:sz w:val="24"/>
          <w:szCs w:val="24"/>
        </w:rPr>
        <w:t xml:space="preserve"> progetti </w:t>
      </w:r>
      <w:r w:rsidR="00B2118A">
        <w:rPr>
          <w:rFonts w:cs="Times New Roman"/>
          <w:sz w:val="24"/>
          <w:szCs w:val="24"/>
        </w:rPr>
        <w:t>relativi</w:t>
      </w:r>
      <w:r w:rsidR="00BD464A" w:rsidRPr="006C5A3F">
        <w:rPr>
          <w:rFonts w:cs="Times New Roman"/>
          <w:sz w:val="24"/>
          <w:szCs w:val="24"/>
        </w:rPr>
        <w:t xml:space="preserve"> allo svolgimento di attività ritenute di particolare rilievo aziendale</w:t>
      </w:r>
      <w:r w:rsidR="00B2118A">
        <w:rPr>
          <w:rFonts w:cs="Times New Roman"/>
          <w:sz w:val="24"/>
          <w:szCs w:val="24"/>
        </w:rPr>
        <w:t xml:space="preserve"> (accordi sindacali sottoscritti in data 30.11.2015 per il comparto e in data 29.01.2016 per la dirigenza medica e SPTA).</w:t>
      </w:r>
    </w:p>
    <w:p w:rsidR="003A17E1" w:rsidRDefault="003A17E1" w:rsidP="00927899">
      <w:pPr>
        <w:pStyle w:val="Paragrafoelenco"/>
        <w:autoSpaceDE w:val="0"/>
        <w:autoSpaceDN w:val="0"/>
        <w:adjustRightInd w:val="0"/>
        <w:spacing w:after="0" w:line="240" w:lineRule="auto"/>
        <w:ind w:left="0"/>
        <w:rPr>
          <w:b/>
          <w:sz w:val="26"/>
          <w:szCs w:val="26"/>
        </w:rPr>
      </w:pPr>
    </w:p>
    <w:p w:rsidR="0039352F" w:rsidRDefault="0039352F">
      <w:pPr>
        <w:rPr>
          <w:b/>
          <w:sz w:val="26"/>
          <w:szCs w:val="26"/>
        </w:rPr>
      </w:pPr>
      <w:r>
        <w:rPr>
          <w:b/>
          <w:sz w:val="26"/>
          <w:szCs w:val="26"/>
        </w:rPr>
        <w:br w:type="page"/>
      </w:r>
    </w:p>
    <w:p w:rsidR="0039352F" w:rsidRDefault="0039352F" w:rsidP="00927899">
      <w:pPr>
        <w:pStyle w:val="Paragrafoelenco"/>
        <w:autoSpaceDE w:val="0"/>
        <w:autoSpaceDN w:val="0"/>
        <w:adjustRightInd w:val="0"/>
        <w:spacing w:after="0" w:line="240" w:lineRule="auto"/>
        <w:ind w:left="0"/>
        <w:rPr>
          <w:b/>
          <w:sz w:val="26"/>
          <w:szCs w:val="26"/>
        </w:rPr>
      </w:pPr>
    </w:p>
    <w:p w:rsidR="007670F0" w:rsidRPr="004F1414" w:rsidRDefault="00927899" w:rsidP="00927899">
      <w:pPr>
        <w:pStyle w:val="Paragrafoelenco"/>
        <w:autoSpaceDE w:val="0"/>
        <w:autoSpaceDN w:val="0"/>
        <w:adjustRightInd w:val="0"/>
        <w:spacing w:after="0" w:line="240" w:lineRule="auto"/>
        <w:ind w:left="0"/>
        <w:rPr>
          <w:b/>
          <w:sz w:val="2"/>
          <w:szCs w:val="2"/>
        </w:rPr>
      </w:pPr>
      <w:r>
        <w:rPr>
          <w:b/>
          <w:sz w:val="26"/>
          <w:szCs w:val="26"/>
        </w:rPr>
        <w:t xml:space="preserve">4.2 </w:t>
      </w:r>
      <w:r w:rsidR="004F1414">
        <w:rPr>
          <w:b/>
          <w:sz w:val="26"/>
          <w:szCs w:val="26"/>
        </w:rPr>
        <w:t>P</w:t>
      </w:r>
      <w:r w:rsidR="001D4793" w:rsidRPr="00927899">
        <w:rPr>
          <w:b/>
          <w:sz w:val="26"/>
          <w:szCs w:val="26"/>
        </w:rPr>
        <w:t>ercorso di m</w:t>
      </w:r>
      <w:r w:rsidR="007670F0" w:rsidRPr="00927899">
        <w:rPr>
          <w:b/>
          <w:sz w:val="26"/>
          <w:szCs w:val="26"/>
        </w:rPr>
        <w:t>onitoraggio degli obiettivi</w:t>
      </w:r>
      <w:r w:rsidR="00BD464A" w:rsidRPr="00927899">
        <w:rPr>
          <w:b/>
          <w:sz w:val="26"/>
          <w:szCs w:val="26"/>
        </w:rPr>
        <w:t>/progetti</w:t>
      </w:r>
      <w:r w:rsidR="00E976F7" w:rsidRPr="004F1414">
        <w:rPr>
          <w:b/>
          <w:sz w:val="2"/>
          <w:szCs w:val="2"/>
        </w:rPr>
        <w:fldChar w:fldCharType="begin"/>
      </w:r>
      <w:r w:rsidR="00F47B33" w:rsidRPr="004F1414">
        <w:rPr>
          <w:sz w:val="2"/>
          <w:szCs w:val="2"/>
        </w:rPr>
        <w:instrText xml:space="preserve"> XE "</w:instrText>
      </w:r>
      <w:r w:rsidR="00F47B33" w:rsidRPr="004F1414">
        <w:rPr>
          <w:b/>
          <w:sz w:val="2"/>
          <w:szCs w:val="2"/>
        </w:rPr>
        <w:instrText xml:space="preserve">4.2 </w:instrText>
      </w:r>
      <w:r w:rsidR="004F1414" w:rsidRPr="004F1414">
        <w:rPr>
          <w:b/>
          <w:sz w:val="2"/>
          <w:szCs w:val="2"/>
        </w:rPr>
        <w:instrText>P</w:instrText>
      </w:r>
      <w:r w:rsidR="00F47B33" w:rsidRPr="004F1414">
        <w:rPr>
          <w:b/>
          <w:sz w:val="2"/>
          <w:szCs w:val="2"/>
        </w:rPr>
        <w:instrText>ercorso di monitoraggio degli obiettivi/progetti</w:instrText>
      </w:r>
      <w:r w:rsidR="00F47B33" w:rsidRPr="004F1414">
        <w:rPr>
          <w:sz w:val="2"/>
          <w:szCs w:val="2"/>
        </w:rPr>
        <w:instrText xml:space="preserve">" </w:instrText>
      </w:r>
      <w:r w:rsidR="00E976F7" w:rsidRPr="004F1414">
        <w:rPr>
          <w:b/>
          <w:sz w:val="2"/>
          <w:szCs w:val="2"/>
        </w:rPr>
        <w:fldChar w:fldCharType="end"/>
      </w:r>
    </w:p>
    <w:p w:rsidR="007670F0" w:rsidRPr="0039352F" w:rsidRDefault="007670F0" w:rsidP="005C5CCC">
      <w:pPr>
        <w:pStyle w:val="Default"/>
        <w:jc w:val="both"/>
        <w:rPr>
          <w:rFonts w:asciiTheme="minorHAnsi" w:hAnsiTheme="minorHAnsi"/>
          <w:sz w:val="20"/>
          <w:szCs w:val="20"/>
        </w:rPr>
      </w:pPr>
    </w:p>
    <w:p w:rsidR="00850509" w:rsidRDefault="00850509" w:rsidP="005C5CCC">
      <w:pPr>
        <w:pStyle w:val="Default"/>
        <w:jc w:val="both"/>
        <w:rPr>
          <w:rFonts w:asciiTheme="minorHAnsi" w:hAnsiTheme="minorHAnsi"/>
          <w:b/>
          <w:u w:val="single"/>
        </w:rPr>
      </w:pPr>
      <w:r w:rsidRPr="00927899">
        <w:rPr>
          <w:rFonts w:asciiTheme="minorHAnsi" w:hAnsiTheme="minorHAnsi"/>
          <w:b/>
          <w:u w:val="single"/>
        </w:rPr>
        <w:t>Verifiche intermedie</w:t>
      </w:r>
      <w:r w:rsidR="00752108" w:rsidRPr="00927899">
        <w:rPr>
          <w:rFonts w:asciiTheme="minorHAnsi" w:hAnsiTheme="minorHAnsi"/>
          <w:b/>
          <w:u w:val="single"/>
        </w:rPr>
        <w:t xml:space="preserve"> schede di budget</w:t>
      </w:r>
    </w:p>
    <w:p w:rsidR="009951C8" w:rsidRDefault="00850509" w:rsidP="00D2173B">
      <w:pPr>
        <w:autoSpaceDE w:val="0"/>
        <w:autoSpaceDN w:val="0"/>
        <w:adjustRightInd w:val="0"/>
        <w:spacing w:after="0" w:line="240" w:lineRule="auto"/>
        <w:jc w:val="both"/>
        <w:rPr>
          <w:rFonts w:cs="Times New Roman"/>
          <w:sz w:val="24"/>
          <w:szCs w:val="24"/>
        </w:rPr>
      </w:pPr>
      <w:r w:rsidRPr="00FA3511">
        <w:rPr>
          <w:rFonts w:cs="Times New Roman"/>
          <w:sz w:val="24"/>
          <w:szCs w:val="24"/>
        </w:rPr>
        <w:t>Nel corso del 201</w:t>
      </w:r>
      <w:r w:rsidR="00801FD4">
        <w:rPr>
          <w:rFonts w:cs="Times New Roman"/>
          <w:sz w:val="24"/>
          <w:szCs w:val="24"/>
        </w:rPr>
        <w:t>5</w:t>
      </w:r>
      <w:r w:rsidRPr="00FA3511">
        <w:rPr>
          <w:rFonts w:cs="Times New Roman"/>
          <w:sz w:val="24"/>
          <w:szCs w:val="24"/>
        </w:rPr>
        <w:t xml:space="preserve"> </w:t>
      </w:r>
      <w:r w:rsidR="00372D4C" w:rsidRPr="00FA3511">
        <w:rPr>
          <w:rFonts w:cs="Times New Roman"/>
          <w:sz w:val="24"/>
          <w:szCs w:val="24"/>
        </w:rPr>
        <w:t>è</w:t>
      </w:r>
      <w:r w:rsidR="002A1F04" w:rsidRPr="00FA3511">
        <w:rPr>
          <w:rFonts w:cs="Times New Roman"/>
          <w:sz w:val="24"/>
          <w:szCs w:val="24"/>
        </w:rPr>
        <w:t xml:space="preserve"> stato garantito</w:t>
      </w:r>
      <w:r w:rsidR="00801FD4">
        <w:rPr>
          <w:rFonts w:cs="Times New Roman"/>
          <w:sz w:val="24"/>
          <w:szCs w:val="24"/>
        </w:rPr>
        <w:t xml:space="preserve"> </w:t>
      </w:r>
      <w:r w:rsidR="002A1F04" w:rsidRPr="00FA3511">
        <w:rPr>
          <w:rFonts w:cs="Times New Roman"/>
          <w:sz w:val="24"/>
          <w:szCs w:val="24"/>
        </w:rPr>
        <w:t xml:space="preserve">un monitoraggio </w:t>
      </w:r>
      <w:proofErr w:type="spellStart"/>
      <w:r w:rsidR="00801FD4">
        <w:rPr>
          <w:rFonts w:cs="Times New Roman"/>
          <w:sz w:val="24"/>
          <w:szCs w:val="24"/>
        </w:rPr>
        <w:t>infrannuale</w:t>
      </w:r>
      <w:proofErr w:type="spellEnd"/>
      <w:r w:rsidR="00801FD4">
        <w:rPr>
          <w:rFonts w:cs="Times New Roman"/>
          <w:sz w:val="24"/>
          <w:szCs w:val="24"/>
        </w:rPr>
        <w:t xml:space="preserve"> </w:t>
      </w:r>
      <w:r w:rsidR="00BD7B7F">
        <w:rPr>
          <w:rFonts w:cs="Times New Roman"/>
          <w:sz w:val="24"/>
          <w:szCs w:val="24"/>
        </w:rPr>
        <w:t>degli obiettivi di budget incentivati</w:t>
      </w:r>
      <w:r w:rsidR="000A74F6">
        <w:rPr>
          <w:rFonts w:cs="Times New Roman"/>
          <w:sz w:val="24"/>
          <w:szCs w:val="24"/>
        </w:rPr>
        <w:t>.</w:t>
      </w:r>
      <w:r w:rsidR="00BD7B7F">
        <w:rPr>
          <w:rFonts w:cs="Times New Roman"/>
          <w:sz w:val="24"/>
          <w:szCs w:val="24"/>
        </w:rPr>
        <w:t xml:space="preserve"> </w:t>
      </w:r>
      <w:r w:rsidR="000A74F6">
        <w:rPr>
          <w:rFonts w:cs="Times New Roman"/>
          <w:sz w:val="24"/>
          <w:szCs w:val="24"/>
        </w:rPr>
        <w:t>Gli</w:t>
      </w:r>
      <w:r w:rsidR="002A1F04" w:rsidRPr="00FA3511">
        <w:rPr>
          <w:rFonts w:cs="Times New Roman"/>
          <w:sz w:val="24"/>
          <w:szCs w:val="24"/>
        </w:rPr>
        <w:t xml:space="preserve"> scostamenti sono stati analizzati dalla D</w:t>
      </w:r>
      <w:r w:rsidR="001F5005">
        <w:rPr>
          <w:rFonts w:cs="Times New Roman"/>
          <w:sz w:val="24"/>
          <w:szCs w:val="24"/>
        </w:rPr>
        <w:t xml:space="preserve">irezione </w:t>
      </w:r>
      <w:r w:rsidR="002A1F04" w:rsidRPr="00FA3511">
        <w:rPr>
          <w:rFonts w:cs="Times New Roman"/>
          <w:sz w:val="24"/>
          <w:szCs w:val="24"/>
        </w:rPr>
        <w:t>S</w:t>
      </w:r>
      <w:r w:rsidR="00877993">
        <w:rPr>
          <w:rFonts w:cs="Times New Roman"/>
          <w:sz w:val="24"/>
          <w:szCs w:val="24"/>
        </w:rPr>
        <w:t>trategica</w:t>
      </w:r>
      <w:r w:rsidR="002A1F04" w:rsidRPr="00FA3511">
        <w:rPr>
          <w:rFonts w:cs="Times New Roman"/>
          <w:sz w:val="24"/>
          <w:szCs w:val="24"/>
        </w:rPr>
        <w:t xml:space="preserve"> con i responsabili </w:t>
      </w:r>
      <w:r w:rsidR="001F5005">
        <w:rPr>
          <w:rFonts w:cs="Times New Roman"/>
          <w:sz w:val="24"/>
          <w:szCs w:val="24"/>
        </w:rPr>
        <w:t>delle Strutture Operative.</w:t>
      </w:r>
      <w:r w:rsidR="00801FD4">
        <w:rPr>
          <w:rFonts w:cs="Times New Roman"/>
          <w:sz w:val="24"/>
          <w:szCs w:val="24"/>
        </w:rPr>
        <w:t xml:space="preserve"> </w:t>
      </w:r>
      <w:r w:rsidR="009212DF">
        <w:rPr>
          <w:rFonts w:cs="Times New Roman"/>
          <w:sz w:val="24"/>
          <w:szCs w:val="24"/>
        </w:rPr>
        <w:t>In particolare n</w:t>
      </w:r>
      <w:r w:rsidR="00801FD4">
        <w:rPr>
          <w:rFonts w:cs="Times New Roman"/>
          <w:sz w:val="24"/>
          <w:szCs w:val="24"/>
        </w:rPr>
        <w:t xml:space="preserve">elle giornate del 18,22,23 e 24 settembre, si sono tenuti gli incontri di monitoraggio e revisione di budget delle strutture operative dei vari dipartimenti come previsto dal documento “percorso di budget 2015”. Durante questi incontri sono stati proposti sia nuovi obiettivi sia variazioni ad obiettivi/indicatori/risultati attesi già presenti nelle schede di budget. </w:t>
      </w:r>
      <w:r w:rsidR="009212DF">
        <w:rPr>
          <w:rFonts w:cs="Times New Roman"/>
          <w:sz w:val="24"/>
          <w:szCs w:val="24"/>
        </w:rPr>
        <w:t xml:space="preserve">Il monitoraggio al </w:t>
      </w:r>
      <w:r w:rsidR="00801FD4">
        <w:rPr>
          <w:rFonts w:cs="Times New Roman"/>
          <w:sz w:val="24"/>
          <w:szCs w:val="24"/>
        </w:rPr>
        <w:t>30.09.2015 delle schede di budget delle strutture</w:t>
      </w:r>
      <w:r w:rsidR="009212DF">
        <w:rPr>
          <w:rFonts w:cs="Times New Roman"/>
          <w:sz w:val="24"/>
          <w:szCs w:val="24"/>
        </w:rPr>
        <w:t>/uffici</w:t>
      </w:r>
      <w:r w:rsidR="00801FD4">
        <w:rPr>
          <w:rFonts w:cs="Times New Roman"/>
          <w:sz w:val="24"/>
          <w:szCs w:val="24"/>
        </w:rPr>
        <w:t xml:space="preserve"> delle direzioni ha evidenziato </w:t>
      </w:r>
      <w:r w:rsidR="009212DF">
        <w:rPr>
          <w:rFonts w:cs="Times New Roman"/>
          <w:sz w:val="24"/>
          <w:szCs w:val="24"/>
        </w:rPr>
        <w:t>l</w:t>
      </w:r>
      <w:r w:rsidR="00801FD4">
        <w:rPr>
          <w:rFonts w:cs="Times New Roman"/>
          <w:sz w:val="24"/>
          <w:szCs w:val="24"/>
        </w:rPr>
        <w:t>a necessità di apportare delle modif</w:t>
      </w:r>
      <w:r w:rsidR="009212DF">
        <w:rPr>
          <w:rFonts w:cs="Times New Roman"/>
          <w:sz w:val="24"/>
          <w:szCs w:val="24"/>
        </w:rPr>
        <w:t>iche</w:t>
      </w:r>
      <w:r w:rsidR="00801FD4">
        <w:rPr>
          <w:rFonts w:cs="Times New Roman"/>
          <w:sz w:val="24"/>
          <w:szCs w:val="24"/>
        </w:rPr>
        <w:t xml:space="preserve"> a taluni obiettivi contenuti nelle schede di budget. </w:t>
      </w:r>
      <w:r w:rsidR="009212DF">
        <w:rPr>
          <w:rFonts w:cs="Times New Roman"/>
          <w:sz w:val="24"/>
          <w:szCs w:val="24"/>
        </w:rPr>
        <w:t xml:space="preserve">Il monitoraggio </w:t>
      </w:r>
      <w:proofErr w:type="spellStart"/>
      <w:r w:rsidR="009212DF">
        <w:rPr>
          <w:rFonts w:cs="Times New Roman"/>
          <w:sz w:val="24"/>
          <w:szCs w:val="24"/>
        </w:rPr>
        <w:t>infrannuale</w:t>
      </w:r>
      <w:proofErr w:type="spellEnd"/>
      <w:r w:rsidR="009212DF">
        <w:rPr>
          <w:rFonts w:cs="Times New Roman"/>
          <w:sz w:val="24"/>
          <w:szCs w:val="24"/>
        </w:rPr>
        <w:t xml:space="preserve"> del budget 2015 e le </w:t>
      </w:r>
      <w:r w:rsidR="00801FD4">
        <w:rPr>
          <w:rFonts w:cs="Times New Roman"/>
          <w:sz w:val="24"/>
          <w:szCs w:val="24"/>
        </w:rPr>
        <w:t>pr</w:t>
      </w:r>
      <w:r w:rsidR="009212DF">
        <w:rPr>
          <w:rFonts w:cs="Times New Roman"/>
          <w:sz w:val="24"/>
          <w:szCs w:val="24"/>
        </w:rPr>
        <w:t>o</w:t>
      </w:r>
      <w:r w:rsidR="00801FD4">
        <w:rPr>
          <w:rFonts w:cs="Times New Roman"/>
          <w:sz w:val="24"/>
          <w:szCs w:val="24"/>
        </w:rPr>
        <w:t xml:space="preserve">poste </w:t>
      </w:r>
      <w:r w:rsidR="009212DF">
        <w:rPr>
          <w:rFonts w:cs="Times New Roman"/>
          <w:sz w:val="24"/>
          <w:szCs w:val="24"/>
        </w:rPr>
        <w:t xml:space="preserve">motivate </w:t>
      </w:r>
      <w:r w:rsidR="00801FD4">
        <w:rPr>
          <w:rFonts w:cs="Times New Roman"/>
          <w:sz w:val="24"/>
          <w:szCs w:val="24"/>
        </w:rPr>
        <w:t xml:space="preserve">sono state esaminate </w:t>
      </w:r>
      <w:r w:rsidR="009212DF">
        <w:rPr>
          <w:rFonts w:cs="Times New Roman"/>
          <w:sz w:val="24"/>
          <w:szCs w:val="24"/>
        </w:rPr>
        <w:t>dall’Organismo Indipendente di Valutazione della Performance</w:t>
      </w:r>
      <w:r w:rsidR="00801FD4">
        <w:rPr>
          <w:rFonts w:cs="Times New Roman"/>
          <w:sz w:val="24"/>
          <w:szCs w:val="24"/>
        </w:rPr>
        <w:t xml:space="preserve"> in data 03.11.2015 (verbale n. 10)</w:t>
      </w:r>
      <w:r w:rsidR="009212DF">
        <w:rPr>
          <w:rFonts w:cs="Times New Roman"/>
          <w:sz w:val="24"/>
          <w:szCs w:val="24"/>
        </w:rPr>
        <w:t xml:space="preserve"> e approvate con deliberazione del direttore generale n. 245 del 26.11.2015.</w:t>
      </w:r>
    </w:p>
    <w:p w:rsidR="00801FD4" w:rsidRDefault="00801FD4" w:rsidP="0039352F">
      <w:pPr>
        <w:autoSpaceDE w:val="0"/>
        <w:autoSpaceDN w:val="0"/>
        <w:adjustRightInd w:val="0"/>
        <w:spacing w:after="120" w:line="240" w:lineRule="auto"/>
        <w:jc w:val="both"/>
        <w:rPr>
          <w:rFonts w:cs="Times New Roman"/>
          <w:sz w:val="24"/>
          <w:szCs w:val="24"/>
        </w:rPr>
      </w:pPr>
    </w:p>
    <w:p w:rsidR="00850509" w:rsidRDefault="00850509" w:rsidP="005C5CCC">
      <w:pPr>
        <w:pStyle w:val="Default"/>
        <w:jc w:val="both"/>
        <w:rPr>
          <w:rFonts w:asciiTheme="minorHAnsi" w:hAnsiTheme="minorHAnsi"/>
          <w:b/>
          <w:u w:val="single"/>
        </w:rPr>
      </w:pPr>
      <w:r w:rsidRPr="00927899">
        <w:rPr>
          <w:rFonts w:asciiTheme="minorHAnsi" w:hAnsiTheme="minorHAnsi"/>
          <w:b/>
          <w:u w:val="single"/>
        </w:rPr>
        <w:t>Valutazione annuale</w:t>
      </w:r>
      <w:r w:rsidR="00752108" w:rsidRPr="00927899">
        <w:rPr>
          <w:rFonts w:asciiTheme="minorHAnsi" w:hAnsiTheme="minorHAnsi"/>
          <w:b/>
          <w:u w:val="single"/>
        </w:rPr>
        <w:t xml:space="preserve"> schede di budget</w:t>
      </w:r>
    </w:p>
    <w:p w:rsidR="00BF0130" w:rsidRDefault="00BF0130" w:rsidP="00E85CDD">
      <w:pPr>
        <w:pStyle w:val="Default"/>
        <w:jc w:val="both"/>
        <w:rPr>
          <w:rFonts w:asciiTheme="minorHAnsi" w:hAnsiTheme="minorHAnsi"/>
        </w:rPr>
      </w:pPr>
      <w:r>
        <w:rPr>
          <w:rFonts w:asciiTheme="minorHAnsi" w:hAnsiTheme="minorHAnsi"/>
        </w:rPr>
        <w:t>Alla chiusura dell’esercizio di budget si è proceduto alla verifica dei risultati raggiunti rispetto agli obiettivi assegnati nelle diverse schede di budget.</w:t>
      </w:r>
    </w:p>
    <w:p w:rsidR="00BF0130" w:rsidRDefault="00BF0130" w:rsidP="00E85CDD">
      <w:pPr>
        <w:pStyle w:val="Default"/>
        <w:jc w:val="both"/>
        <w:rPr>
          <w:rFonts w:asciiTheme="minorHAnsi" w:hAnsiTheme="minorHAnsi"/>
        </w:rPr>
      </w:pPr>
      <w:r>
        <w:rPr>
          <w:rFonts w:asciiTheme="minorHAnsi" w:hAnsiTheme="minorHAnsi"/>
        </w:rPr>
        <w:t>I</w:t>
      </w:r>
      <w:r w:rsidRPr="009951C8">
        <w:rPr>
          <w:rFonts w:asciiTheme="minorHAnsi" w:hAnsiTheme="minorHAnsi"/>
        </w:rPr>
        <w:t xml:space="preserve">l raggiungimento degli obiettivi è stato attestato </w:t>
      </w:r>
      <w:r>
        <w:rPr>
          <w:rFonts w:asciiTheme="minorHAnsi" w:hAnsiTheme="minorHAnsi"/>
        </w:rPr>
        <w:t xml:space="preserve">in prima istanza </w:t>
      </w:r>
      <w:r w:rsidRPr="009951C8">
        <w:rPr>
          <w:rFonts w:asciiTheme="minorHAnsi" w:hAnsiTheme="minorHAnsi"/>
        </w:rPr>
        <w:t>dalla direzione strategica di competenza sulla base di propri strumenti di monitoraggio o avvalendosi della documentazione prodotta dai responsabili che hanno partecipato al percorso di budget 201</w:t>
      </w:r>
      <w:r w:rsidR="009212DF">
        <w:rPr>
          <w:rFonts w:asciiTheme="minorHAnsi" w:hAnsiTheme="minorHAnsi"/>
        </w:rPr>
        <w:t>5</w:t>
      </w:r>
      <w:r w:rsidRPr="009951C8">
        <w:rPr>
          <w:rFonts w:asciiTheme="minorHAnsi" w:hAnsiTheme="minorHAnsi"/>
        </w:rPr>
        <w:t xml:space="preserve">. </w:t>
      </w:r>
    </w:p>
    <w:p w:rsidR="00BF0130" w:rsidRPr="00F233DA" w:rsidRDefault="00BF0130" w:rsidP="00E85CDD">
      <w:pPr>
        <w:pStyle w:val="Default"/>
        <w:jc w:val="both"/>
        <w:rPr>
          <w:rFonts w:asciiTheme="minorHAnsi" w:hAnsiTheme="minorHAnsi"/>
          <w:color w:val="auto"/>
        </w:rPr>
      </w:pPr>
      <w:r w:rsidRPr="00F233DA">
        <w:rPr>
          <w:rFonts w:asciiTheme="minorHAnsi" w:hAnsiTheme="minorHAnsi"/>
          <w:color w:val="auto"/>
        </w:rPr>
        <w:t xml:space="preserve">Il processo di validazione delle risultanze da parte dell’OIVP si è concluso in data </w:t>
      </w:r>
      <w:r w:rsidR="00CF59D7" w:rsidRPr="00F233DA">
        <w:rPr>
          <w:rFonts w:asciiTheme="minorHAnsi" w:hAnsiTheme="minorHAnsi"/>
          <w:color w:val="auto"/>
        </w:rPr>
        <w:t>23</w:t>
      </w:r>
      <w:r w:rsidRPr="00F233DA">
        <w:rPr>
          <w:rFonts w:asciiTheme="minorHAnsi" w:hAnsiTheme="minorHAnsi"/>
          <w:color w:val="auto"/>
        </w:rPr>
        <w:t xml:space="preserve"> giugno 201</w:t>
      </w:r>
      <w:r w:rsidR="00CF59D7" w:rsidRPr="00F233DA">
        <w:rPr>
          <w:rFonts w:asciiTheme="minorHAnsi" w:hAnsiTheme="minorHAnsi"/>
          <w:color w:val="auto"/>
        </w:rPr>
        <w:t>6</w:t>
      </w:r>
      <w:r w:rsidRPr="00F233DA">
        <w:rPr>
          <w:rFonts w:asciiTheme="minorHAnsi" w:hAnsiTheme="minorHAnsi"/>
          <w:color w:val="auto"/>
        </w:rPr>
        <w:t>.</w:t>
      </w:r>
    </w:p>
    <w:p w:rsidR="00BF0130" w:rsidRPr="00F233DA" w:rsidRDefault="00BF0130" w:rsidP="00E85CDD">
      <w:pPr>
        <w:pStyle w:val="Default"/>
        <w:jc w:val="both"/>
        <w:rPr>
          <w:rFonts w:asciiTheme="minorHAnsi" w:hAnsiTheme="minorHAnsi"/>
          <w:color w:val="auto"/>
        </w:rPr>
      </w:pPr>
      <w:r w:rsidRPr="00F233DA">
        <w:rPr>
          <w:rFonts w:asciiTheme="minorHAnsi" w:hAnsiTheme="minorHAnsi"/>
          <w:color w:val="auto"/>
        </w:rPr>
        <w:t>Complessivamente tutte le strutture/dipartimenti/direzioni hanno avuto una valutazione superiore al</w:t>
      </w:r>
      <w:r w:rsidR="00F233DA" w:rsidRPr="00F233DA">
        <w:rPr>
          <w:rFonts w:asciiTheme="minorHAnsi" w:hAnsiTheme="minorHAnsi"/>
          <w:color w:val="auto"/>
        </w:rPr>
        <w:t>l’85%</w:t>
      </w:r>
      <w:r w:rsidRPr="00F233DA">
        <w:rPr>
          <w:rFonts w:asciiTheme="minorHAnsi" w:hAnsiTheme="minorHAnsi"/>
          <w:color w:val="auto"/>
        </w:rPr>
        <w:t>, così come risulta dalle singole schede di budget.</w:t>
      </w:r>
    </w:p>
    <w:p w:rsidR="002A1F04" w:rsidRDefault="002A1F04" w:rsidP="00927899">
      <w:pPr>
        <w:pStyle w:val="Paragrafoelenco"/>
        <w:autoSpaceDE w:val="0"/>
        <w:autoSpaceDN w:val="0"/>
        <w:adjustRightInd w:val="0"/>
        <w:spacing w:after="0" w:line="240" w:lineRule="auto"/>
        <w:ind w:left="0"/>
        <w:rPr>
          <w:b/>
          <w:sz w:val="26"/>
          <w:szCs w:val="26"/>
        </w:rPr>
      </w:pPr>
    </w:p>
    <w:p w:rsidR="0039352F" w:rsidRDefault="0039352F" w:rsidP="00927899">
      <w:pPr>
        <w:pStyle w:val="Paragrafoelenco"/>
        <w:autoSpaceDE w:val="0"/>
        <w:autoSpaceDN w:val="0"/>
        <w:adjustRightInd w:val="0"/>
        <w:spacing w:after="0" w:line="240" w:lineRule="auto"/>
        <w:ind w:left="0"/>
        <w:rPr>
          <w:b/>
          <w:sz w:val="26"/>
          <w:szCs w:val="26"/>
        </w:rPr>
      </w:pPr>
    </w:p>
    <w:p w:rsidR="0039352F" w:rsidRDefault="0039352F" w:rsidP="00927899">
      <w:pPr>
        <w:pStyle w:val="Paragrafoelenco"/>
        <w:autoSpaceDE w:val="0"/>
        <w:autoSpaceDN w:val="0"/>
        <w:adjustRightInd w:val="0"/>
        <w:spacing w:after="0" w:line="240" w:lineRule="auto"/>
        <w:ind w:left="0"/>
        <w:rPr>
          <w:b/>
          <w:sz w:val="26"/>
          <w:szCs w:val="26"/>
        </w:rPr>
      </w:pPr>
    </w:p>
    <w:p w:rsidR="00752108" w:rsidRPr="00F47B33" w:rsidRDefault="00927899" w:rsidP="00927899">
      <w:pPr>
        <w:pStyle w:val="Paragrafoelenco"/>
        <w:autoSpaceDE w:val="0"/>
        <w:autoSpaceDN w:val="0"/>
        <w:adjustRightInd w:val="0"/>
        <w:spacing w:after="0" w:line="240" w:lineRule="auto"/>
        <w:ind w:left="0"/>
        <w:rPr>
          <w:b/>
          <w:sz w:val="2"/>
          <w:szCs w:val="2"/>
        </w:rPr>
      </w:pPr>
      <w:r>
        <w:rPr>
          <w:b/>
          <w:sz w:val="26"/>
          <w:szCs w:val="26"/>
        </w:rPr>
        <w:t xml:space="preserve">4.3 </w:t>
      </w:r>
      <w:r w:rsidR="00752108" w:rsidRPr="00927899">
        <w:rPr>
          <w:b/>
          <w:sz w:val="26"/>
          <w:szCs w:val="26"/>
        </w:rPr>
        <w:t xml:space="preserve">Valutazione </w:t>
      </w:r>
      <w:r w:rsidR="0036369C" w:rsidRPr="00927899">
        <w:rPr>
          <w:b/>
          <w:sz w:val="26"/>
          <w:szCs w:val="26"/>
        </w:rPr>
        <w:t>della performance individuale</w:t>
      </w:r>
      <w:r w:rsidR="00E976F7" w:rsidRPr="00F47B33">
        <w:rPr>
          <w:b/>
          <w:sz w:val="2"/>
          <w:szCs w:val="2"/>
        </w:rPr>
        <w:fldChar w:fldCharType="begin"/>
      </w:r>
      <w:r w:rsidR="00F47B33" w:rsidRPr="00F47B33">
        <w:rPr>
          <w:sz w:val="2"/>
          <w:szCs w:val="2"/>
        </w:rPr>
        <w:instrText xml:space="preserve"> XE "</w:instrText>
      </w:r>
      <w:r w:rsidR="00F47B33" w:rsidRPr="00F47B33">
        <w:rPr>
          <w:b/>
          <w:sz w:val="2"/>
          <w:szCs w:val="2"/>
        </w:rPr>
        <w:instrText>4.3 Valutazione della performance individuale</w:instrText>
      </w:r>
      <w:r w:rsidR="00F47B33" w:rsidRPr="00F47B33">
        <w:rPr>
          <w:sz w:val="2"/>
          <w:szCs w:val="2"/>
        </w:rPr>
        <w:instrText xml:space="preserve">" </w:instrText>
      </w:r>
      <w:r w:rsidR="00E976F7" w:rsidRPr="00F47B33">
        <w:rPr>
          <w:b/>
          <w:sz w:val="2"/>
          <w:szCs w:val="2"/>
        </w:rPr>
        <w:fldChar w:fldCharType="end"/>
      </w:r>
    </w:p>
    <w:p w:rsidR="00A81BB4" w:rsidRPr="0039352F" w:rsidRDefault="00A81BB4" w:rsidP="00E85CDD">
      <w:pPr>
        <w:autoSpaceDE w:val="0"/>
        <w:autoSpaceDN w:val="0"/>
        <w:adjustRightInd w:val="0"/>
        <w:spacing w:after="0" w:line="240" w:lineRule="auto"/>
        <w:jc w:val="both"/>
        <w:rPr>
          <w:rFonts w:cs="Times New Roman"/>
          <w:sz w:val="20"/>
          <w:szCs w:val="20"/>
        </w:rPr>
      </w:pPr>
    </w:p>
    <w:p w:rsidR="00805CAD" w:rsidRPr="002837C2" w:rsidRDefault="00805CAD" w:rsidP="00E85CDD">
      <w:pPr>
        <w:autoSpaceDE w:val="0"/>
        <w:autoSpaceDN w:val="0"/>
        <w:adjustRightInd w:val="0"/>
        <w:spacing w:after="0" w:line="240" w:lineRule="auto"/>
        <w:jc w:val="both"/>
        <w:rPr>
          <w:rFonts w:cs="Times New Roman"/>
          <w:sz w:val="24"/>
          <w:szCs w:val="24"/>
        </w:rPr>
      </w:pPr>
      <w:r w:rsidRPr="002837C2">
        <w:rPr>
          <w:rFonts w:cs="Times New Roman"/>
          <w:sz w:val="24"/>
          <w:szCs w:val="24"/>
        </w:rPr>
        <w:t>Il ciclo della performance si chiude con la valutazione individuale del personale dipendente.</w:t>
      </w:r>
    </w:p>
    <w:p w:rsidR="00805CAD" w:rsidRPr="002837C2" w:rsidRDefault="00805CAD" w:rsidP="00E85CDD">
      <w:pPr>
        <w:autoSpaceDE w:val="0"/>
        <w:autoSpaceDN w:val="0"/>
        <w:adjustRightInd w:val="0"/>
        <w:spacing w:after="0" w:line="240" w:lineRule="auto"/>
        <w:jc w:val="both"/>
        <w:rPr>
          <w:rFonts w:cs="Times New Roman"/>
          <w:sz w:val="24"/>
          <w:szCs w:val="24"/>
        </w:rPr>
      </w:pPr>
      <w:r w:rsidRPr="002837C2">
        <w:rPr>
          <w:rFonts w:cs="Times New Roman"/>
          <w:sz w:val="24"/>
          <w:szCs w:val="24"/>
        </w:rPr>
        <w:t>Negli ultimi anni l’Istituto ha avviato un processo di valutazione della performance individuale differenziato a seconda che si tratti di personale dirigente o non dirigente.</w:t>
      </w:r>
    </w:p>
    <w:p w:rsidR="00A81BB4" w:rsidRPr="00A81BB4" w:rsidRDefault="00A81BB4" w:rsidP="00E85CDD">
      <w:pPr>
        <w:autoSpaceDE w:val="0"/>
        <w:autoSpaceDN w:val="0"/>
        <w:adjustRightInd w:val="0"/>
        <w:spacing w:after="0" w:line="240" w:lineRule="auto"/>
        <w:jc w:val="both"/>
        <w:rPr>
          <w:rFonts w:cs="Times New Roman"/>
          <w:sz w:val="8"/>
          <w:szCs w:val="8"/>
        </w:rPr>
      </w:pPr>
    </w:p>
    <w:p w:rsidR="004D667E" w:rsidRPr="002837C2" w:rsidRDefault="00805CAD" w:rsidP="00E85CDD">
      <w:pPr>
        <w:autoSpaceDE w:val="0"/>
        <w:autoSpaceDN w:val="0"/>
        <w:adjustRightInd w:val="0"/>
        <w:spacing w:after="0" w:line="240" w:lineRule="auto"/>
        <w:jc w:val="both"/>
        <w:rPr>
          <w:rFonts w:cs="Times New Roman"/>
          <w:sz w:val="24"/>
          <w:szCs w:val="24"/>
        </w:rPr>
      </w:pPr>
      <w:r w:rsidRPr="002837C2">
        <w:rPr>
          <w:rFonts w:cs="Times New Roman"/>
          <w:sz w:val="24"/>
          <w:szCs w:val="24"/>
        </w:rPr>
        <w:t xml:space="preserve">La </w:t>
      </w:r>
      <w:r w:rsidR="00834B71" w:rsidRPr="002837C2">
        <w:rPr>
          <w:rFonts w:cs="Times New Roman"/>
          <w:sz w:val="24"/>
          <w:szCs w:val="24"/>
          <w:u w:val="single"/>
        </w:rPr>
        <w:t xml:space="preserve">valutazione individuale </w:t>
      </w:r>
      <w:r w:rsidRPr="002837C2">
        <w:rPr>
          <w:rFonts w:cs="Times New Roman"/>
          <w:sz w:val="24"/>
          <w:szCs w:val="24"/>
          <w:u w:val="single"/>
        </w:rPr>
        <w:t>della dirigenza</w:t>
      </w:r>
      <w:r w:rsidRPr="002837C2">
        <w:rPr>
          <w:rFonts w:cs="Times New Roman"/>
          <w:sz w:val="24"/>
          <w:szCs w:val="24"/>
        </w:rPr>
        <w:t xml:space="preserve"> </w:t>
      </w:r>
      <w:r w:rsidR="00834B71" w:rsidRPr="002837C2">
        <w:rPr>
          <w:rFonts w:cs="Times New Roman"/>
          <w:sz w:val="24"/>
          <w:szCs w:val="24"/>
        </w:rPr>
        <w:t>analizza e misura in modo trasparente la performance dei dipendenti e valoriz</w:t>
      </w:r>
      <w:r w:rsidR="00B97AAF" w:rsidRPr="002837C2">
        <w:rPr>
          <w:rFonts w:cs="Times New Roman"/>
          <w:sz w:val="24"/>
          <w:szCs w:val="24"/>
        </w:rPr>
        <w:t>za il loro impegno e i loro ris</w:t>
      </w:r>
      <w:r w:rsidR="00834B71" w:rsidRPr="002837C2">
        <w:rPr>
          <w:rFonts w:cs="Times New Roman"/>
          <w:sz w:val="24"/>
          <w:szCs w:val="24"/>
        </w:rPr>
        <w:t>u</w:t>
      </w:r>
      <w:r w:rsidR="00B97AAF" w:rsidRPr="002837C2">
        <w:rPr>
          <w:rFonts w:cs="Times New Roman"/>
          <w:sz w:val="24"/>
          <w:szCs w:val="24"/>
        </w:rPr>
        <w:t>l</w:t>
      </w:r>
      <w:r w:rsidR="00834B71" w:rsidRPr="002837C2">
        <w:rPr>
          <w:rFonts w:cs="Times New Roman"/>
          <w:sz w:val="24"/>
          <w:szCs w:val="24"/>
        </w:rPr>
        <w:t xml:space="preserve">tati. </w:t>
      </w:r>
    </w:p>
    <w:p w:rsidR="00B97AAF" w:rsidRDefault="006C1942" w:rsidP="00E85CDD">
      <w:pPr>
        <w:autoSpaceDE w:val="0"/>
        <w:autoSpaceDN w:val="0"/>
        <w:adjustRightInd w:val="0"/>
        <w:spacing w:after="0" w:line="240" w:lineRule="auto"/>
        <w:jc w:val="both"/>
        <w:rPr>
          <w:rFonts w:cs="Times New Roman"/>
          <w:sz w:val="24"/>
          <w:szCs w:val="24"/>
        </w:rPr>
      </w:pPr>
      <w:r w:rsidRPr="002837C2">
        <w:rPr>
          <w:rFonts w:cs="Times New Roman"/>
          <w:sz w:val="24"/>
          <w:szCs w:val="24"/>
        </w:rPr>
        <w:t>Lo strumento utilizzato è rappresentato da una</w:t>
      </w:r>
      <w:r w:rsidR="00834B71" w:rsidRPr="002837C2">
        <w:rPr>
          <w:rFonts w:cs="Times New Roman"/>
          <w:sz w:val="24"/>
          <w:szCs w:val="24"/>
        </w:rPr>
        <w:t xml:space="preserve"> scheda di valutazione </w:t>
      </w:r>
      <w:r w:rsidRPr="002837C2">
        <w:rPr>
          <w:rFonts w:cs="Times New Roman"/>
          <w:sz w:val="24"/>
          <w:szCs w:val="24"/>
        </w:rPr>
        <w:t xml:space="preserve">in formato </w:t>
      </w:r>
      <w:proofErr w:type="spellStart"/>
      <w:r w:rsidRPr="002837C2">
        <w:rPr>
          <w:rFonts w:cs="Times New Roman"/>
          <w:sz w:val="24"/>
          <w:szCs w:val="24"/>
        </w:rPr>
        <w:t>excel</w:t>
      </w:r>
      <w:proofErr w:type="spellEnd"/>
      <w:r w:rsidRPr="002837C2">
        <w:rPr>
          <w:rFonts w:cs="Times New Roman"/>
          <w:sz w:val="24"/>
          <w:szCs w:val="24"/>
        </w:rPr>
        <w:t xml:space="preserve"> ed </w:t>
      </w:r>
      <w:r w:rsidR="00834B71" w:rsidRPr="002837C2">
        <w:rPr>
          <w:rFonts w:cs="Times New Roman"/>
          <w:sz w:val="24"/>
          <w:szCs w:val="24"/>
        </w:rPr>
        <w:t xml:space="preserve">è </w:t>
      </w:r>
      <w:r w:rsidR="00B97AAF" w:rsidRPr="002837C2">
        <w:rPr>
          <w:rFonts w:cs="Times New Roman"/>
          <w:sz w:val="24"/>
          <w:szCs w:val="24"/>
        </w:rPr>
        <w:t>articolata in 7 dimensioni:</w:t>
      </w:r>
    </w:p>
    <w:p w:rsidR="00B33EB9" w:rsidRDefault="00B33EB9" w:rsidP="00E85CDD">
      <w:pPr>
        <w:autoSpaceDE w:val="0"/>
        <w:autoSpaceDN w:val="0"/>
        <w:adjustRightInd w:val="0"/>
        <w:spacing w:after="0" w:line="240" w:lineRule="auto"/>
        <w:jc w:val="both"/>
        <w:rPr>
          <w:rFonts w:cs="Times New Roman"/>
          <w:sz w:val="24"/>
          <w:szCs w:val="24"/>
        </w:rPr>
      </w:pPr>
      <w:r>
        <w:rPr>
          <w:rFonts w:cs="Times New Roman"/>
          <w:sz w:val="24"/>
          <w:szCs w:val="24"/>
        </w:rPr>
        <w:t>per i direttori di struttura complessa:</w:t>
      </w:r>
    </w:p>
    <w:p w:rsidR="00B33EB9" w:rsidRPr="009951C8" w:rsidRDefault="00B33EB9" w:rsidP="00E85CDD">
      <w:pPr>
        <w:pStyle w:val="Default"/>
        <w:numPr>
          <w:ilvl w:val="0"/>
          <w:numId w:val="3"/>
        </w:numPr>
        <w:jc w:val="both"/>
        <w:rPr>
          <w:rFonts w:asciiTheme="minorHAnsi" w:hAnsiTheme="minorHAnsi"/>
        </w:rPr>
      </w:pPr>
      <w:r w:rsidRPr="00AF6B22">
        <w:rPr>
          <w:rFonts w:asciiTheme="minorHAnsi" w:hAnsiTheme="minorHAnsi"/>
        </w:rPr>
        <w:t>caratteristiche comportamentali</w:t>
      </w:r>
      <w:r w:rsidRPr="009951C8">
        <w:rPr>
          <w:rFonts w:asciiTheme="minorHAnsi" w:hAnsiTheme="minorHAnsi"/>
        </w:rPr>
        <w:t xml:space="preserve">, </w:t>
      </w:r>
    </w:p>
    <w:p w:rsidR="00B33EB9" w:rsidRPr="009951C8" w:rsidRDefault="00B33EB9" w:rsidP="00E85CDD">
      <w:pPr>
        <w:pStyle w:val="Default"/>
        <w:numPr>
          <w:ilvl w:val="0"/>
          <w:numId w:val="3"/>
        </w:numPr>
        <w:jc w:val="both"/>
        <w:rPr>
          <w:rFonts w:asciiTheme="minorHAnsi" w:hAnsiTheme="minorHAnsi"/>
        </w:rPr>
      </w:pPr>
      <w:r w:rsidRPr="00AF6B22">
        <w:rPr>
          <w:rFonts w:asciiTheme="minorHAnsi" w:hAnsiTheme="minorHAnsi"/>
        </w:rPr>
        <w:t>collaborazione e partecipazione multidisciplinare</w:t>
      </w:r>
      <w:r w:rsidRPr="009951C8">
        <w:rPr>
          <w:rFonts w:asciiTheme="minorHAnsi" w:hAnsiTheme="minorHAnsi"/>
        </w:rPr>
        <w:t xml:space="preserve">, </w:t>
      </w:r>
    </w:p>
    <w:p w:rsidR="00B33EB9" w:rsidRPr="009951C8" w:rsidRDefault="00B33EB9" w:rsidP="00E85CDD">
      <w:pPr>
        <w:pStyle w:val="Default"/>
        <w:numPr>
          <w:ilvl w:val="0"/>
          <w:numId w:val="3"/>
        </w:numPr>
        <w:jc w:val="both"/>
        <w:rPr>
          <w:rFonts w:asciiTheme="minorHAnsi" w:hAnsiTheme="minorHAnsi"/>
        </w:rPr>
      </w:pPr>
      <w:r w:rsidRPr="00AF6B22">
        <w:rPr>
          <w:rFonts w:asciiTheme="minorHAnsi" w:hAnsiTheme="minorHAnsi"/>
        </w:rPr>
        <w:t>capacità organizzative</w:t>
      </w:r>
      <w:r w:rsidRPr="009951C8">
        <w:rPr>
          <w:rFonts w:asciiTheme="minorHAnsi" w:hAnsiTheme="minorHAnsi"/>
        </w:rPr>
        <w:t>,</w:t>
      </w:r>
    </w:p>
    <w:p w:rsidR="00B33EB9" w:rsidRPr="009951C8" w:rsidRDefault="00B33EB9" w:rsidP="00E85CDD">
      <w:pPr>
        <w:pStyle w:val="Default"/>
        <w:numPr>
          <w:ilvl w:val="0"/>
          <w:numId w:val="3"/>
        </w:numPr>
        <w:jc w:val="both"/>
        <w:rPr>
          <w:rFonts w:asciiTheme="minorHAnsi" w:hAnsiTheme="minorHAnsi"/>
        </w:rPr>
      </w:pPr>
      <w:r>
        <w:rPr>
          <w:rFonts w:asciiTheme="minorHAnsi" w:hAnsiTheme="minorHAnsi"/>
        </w:rPr>
        <w:t>gestione risorse umane</w:t>
      </w:r>
      <w:r w:rsidRPr="009951C8">
        <w:rPr>
          <w:rFonts w:asciiTheme="minorHAnsi" w:hAnsiTheme="minorHAnsi"/>
        </w:rPr>
        <w:t xml:space="preserve">, </w:t>
      </w:r>
    </w:p>
    <w:p w:rsidR="00B33EB9" w:rsidRPr="009951C8" w:rsidRDefault="00B33EB9" w:rsidP="00E85CDD">
      <w:pPr>
        <w:pStyle w:val="Default"/>
        <w:numPr>
          <w:ilvl w:val="0"/>
          <w:numId w:val="3"/>
        </w:numPr>
        <w:jc w:val="both"/>
        <w:rPr>
          <w:rFonts w:asciiTheme="minorHAnsi" w:hAnsiTheme="minorHAnsi"/>
        </w:rPr>
      </w:pPr>
      <w:r>
        <w:rPr>
          <w:rFonts w:asciiTheme="minorHAnsi" w:hAnsiTheme="minorHAnsi"/>
        </w:rPr>
        <w:t>innovazione tecnologica</w:t>
      </w:r>
      <w:r w:rsidRPr="009951C8">
        <w:rPr>
          <w:rFonts w:asciiTheme="minorHAnsi" w:hAnsiTheme="minorHAnsi"/>
        </w:rPr>
        <w:t xml:space="preserve">, </w:t>
      </w:r>
    </w:p>
    <w:p w:rsidR="00B33EB9" w:rsidRPr="009951C8" w:rsidRDefault="00B33EB9" w:rsidP="00E85CDD">
      <w:pPr>
        <w:pStyle w:val="Default"/>
        <w:numPr>
          <w:ilvl w:val="0"/>
          <w:numId w:val="3"/>
        </w:numPr>
        <w:jc w:val="both"/>
        <w:rPr>
          <w:rFonts w:asciiTheme="minorHAnsi" w:hAnsiTheme="minorHAnsi"/>
        </w:rPr>
      </w:pPr>
      <w:r>
        <w:rPr>
          <w:rFonts w:asciiTheme="minorHAnsi" w:hAnsiTheme="minorHAnsi"/>
        </w:rPr>
        <w:t>c</w:t>
      </w:r>
      <w:r w:rsidRPr="00AF6B22">
        <w:rPr>
          <w:rFonts w:asciiTheme="minorHAnsi" w:hAnsiTheme="minorHAnsi"/>
        </w:rPr>
        <w:t>ontributo individuale</w:t>
      </w:r>
      <w:r w:rsidRPr="009951C8">
        <w:rPr>
          <w:rFonts w:asciiTheme="minorHAnsi" w:hAnsiTheme="minorHAnsi"/>
        </w:rPr>
        <w:t xml:space="preserve"> alle a</w:t>
      </w:r>
      <w:r w:rsidRPr="00AF6B22">
        <w:rPr>
          <w:rFonts w:asciiTheme="minorHAnsi" w:hAnsiTheme="minorHAnsi"/>
        </w:rPr>
        <w:t>ttività relativa agli obiettivi di budget dell'anno in corso</w:t>
      </w:r>
      <w:r w:rsidRPr="009951C8">
        <w:rPr>
          <w:rFonts w:asciiTheme="minorHAnsi" w:hAnsiTheme="minorHAnsi"/>
        </w:rPr>
        <w:t xml:space="preserve"> </w:t>
      </w:r>
    </w:p>
    <w:p w:rsidR="00B33EB9" w:rsidRDefault="00B33EB9" w:rsidP="00E85CDD">
      <w:pPr>
        <w:pStyle w:val="Default"/>
        <w:numPr>
          <w:ilvl w:val="0"/>
          <w:numId w:val="3"/>
        </w:numPr>
        <w:jc w:val="both"/>
        <w:rPr>
          <w:rFonts w:asciiTheme="minorHAnsi" w:hAnsiTheme="minorHAnsi"/>
        </w:rPr>
      </w:pPr>
      <w:r w:rsidRPr="00AF6B22">
        <w:rPr>
          <w:rFonts w:asciiTheme="minorHAnsi" w:hAnsiTheme="minorHAnsi"/>
        </w:rPr>
        <w:t>attività scientifiche e didattiche</w:t>
      </w:r>
    </w:p>
    <w:p w:rsidR="00B33EB9" w:rsidRDefault="00B33EB9" w:rsidP="00E85CDD">
      <w:pPr>
        <w:autoSpaceDE w:val="0"/>
        <w:autoSpaceDN w:val="0"/>
        <w:adjustRightInd w:val="0"/>
        <w:spacing w:after="0" w:line="240" w:lineRule="auto"/>
        <w:jc w:val="both"/>
        <w:rPr>
          <w:rFonts w:cs="Times New Roman"/>
          <w:sz w:val="16"/>
          <w:szCs w:val="16"/>
        </w:rPr>
      </w:pPr>
    </w:p>
    <w:p w:rsidR="0039352F" w:rsidRDefault="0039352F" w:rsidP="00E85CDD">
      <w:pPr>
        <w:autoSpaceDE w:val="0"/>
        <w:autoSpaceDN w:val="0"/>
        <w:adjustRightInd w:val="0"/>
        <w:spacing w:after="0" w:line="240" w:lineRule="auto"/>
        <w:jc w:val="both"/>
        <w:rPr>
          <w:rFonts w:cs="Times New Roman"/>
          <w:sz w:val="16"/>
          <w:szCs w:val="16"/>
        </w:rPr>
      </w:pPr>
    </w:p>
    <w:p w:rsidR="0039352F" w:rsidRPr="00B33EB9" w:rsidRDefault="0039352F" w:rsidP="00E85CDD">
      <w:pPr>
        <w:autoSpaceDE w:val="0"/>
        <w:autoSpaceDN w:val="0"/>
        <w:adjustRightInd w:val="0"/>
        <w:spacing w:after="0" w:line="240" w:lineRule="auto"/>
        <w:jc w:val="both"/>
        <w:rPr>
          <w:rFonts w:cs="Times New Roman"/>
          <w:sz w:val="16"/>
          <w:szCs w:val="16"/>
        </w:rPr>
      </w:pPr>
    </w:p>
    <w:p w:rsidR="00B33EB9" w:rsidRPr="002837C2" w:rsidRDefault="00B33EB9" w:rsidP="00E85CDD">
      <w:pPr>
        <w:autoSpaceDE w:val="0"/>
        <w:autoSpaceDN w:val="0"/>
        <w:adjustRightInd w:val="0"/>
        <w:spacing w:after="0" w:line="240" w:lineRule="auto"/>
        <w:jc w:val="both"/>
        <w:rPr>
          <w:rFonts w:cs="Times New Roman"/>
          <w:sz w:val="24"/>
          <w:szCs w:val="24"/>
        </w:rPr>
      </w:pPr>
      <w:r>
        <w:rPr>
          <w:rFonts w:cs="Times New Roman"/>
          <w:sz w:val="24"/>
          <w:szCs w:val="24"/>
        </w:rPr>
        <w:lastRenderedPageBreak/>
        <w:t>per i dirigenti:</w:t>
      </w:r>
    </w:p>
    <w:p w:rsidR="00B97AAF" w:rsidRPr="009951C8" w:rsidRDefault="00B97AAF" w:rsidP="00E85CDD">
      <w:pPr>
        <w:pStyle w:val="Default"/>
        <w:numPr>
          <w:ilvl w:val="0"/>
          <w:numId w:val="3"/>
        </w:numPr>
        <w:jc w:val="both"/>
        <w:rPr>
          <w:rFonts w:asciiTheme="minorHAnsi" w:hAnsiTheme="minorHAnsi"/>
        </w:rPr>
      </w:pPr>
      <w:r w:rsidRPr="00AF6B22">
        <w:rPr>
          <w:rFonts w:asciiTheme="minorHAnsi" w:hAnsiTheme="minorHAnsi"/>
        </w:rPr>
        <w:t>caratteristiche comportamentali</w:t>
      </w:r>
      <w:r w:rsidRPr="009951C8">
        <w:rPr>
          <w:rFonts w:asciiTheme="minorHAnsi" w:hAnsiTheme="minorHAnsi"/>
        </w:rPr>
        <w:t xml:space="preserve">, </w:t>
      </w:r>
    </w:p>
    <w:p w:rsidR="00B97AAF" w:rsidRPr="009951C8" w:rsidRDefault="00B97AAF" w:rsidP="00E85CDD">
      <w:pPr>
        <w:pStyle w:val="Default"/>
        <w:numPr>
          <w:ilvl w:val="0"/>
          <w:numId w:val="3"/>
        </w:numPr>
        <w:jc w:val="both"/>
        <w:rPr>
          <w:rFonts w:asciiTheme="minorHAnsi" w:hAnsiTheme="minorHAnsi"/>
        </w:rPr>
      </w:pPr>
      <w:r w:rsidRPr="00AF6B22">
        <w:rPr>
          <w:rFonts w:asciiTheme="minorHAnsi" w:hAnsiTheme="minorHAnsi"/>
        </w:rPr>
        <w:t>collaborazione e partecipazione multidisciplinare</w:t>
      </w:r>
      <w:r w:rsidRPr="009951C8">
        <w:rPr>
          <w:rFonts w:asciiTheme="minorHAnsi" w:hAnsiTheme="minorHAnsi"/>
        </w:rPr>
        <w:t xml:space="preserve">, </w:t>
      </w:r>
    </w:p>
    <w:p w:rsidR="00B97AAF" w:rsidRPr="009951C8" w:rsidRDefault="00B97AAF" w:rsidP="00E85CDD">
      <w:pPr>
        <w:pStyle w:val="Default"/>
        <w:numPr>
          <w:ilvl w:val="0"/>
          <w:numId w:val="3"/>
        </w:numPr>
        <w:jc w:val="both"/>
        <w:rPr>
          <w:rFonts w:asciiTheme="minorHAnsi" w:hAnsiTheme="minorHAnsi"/>
        </w:rPr>
      </w:pPr>
      <w:r w:rsidRPr="00AF6B22">
        <w:rPr>
          <w:rFonts w:asciiTheme="minorHAnsi" w:hAnsiTheme="minorHAnsi"/>
        </w:rPr>
        <w:t>capacità organizzative</w:t>
      </w:r>
      <w:r w:rsidRPr="009951C8">
        <w:rPr>
          <w:rFonts w:asciiTheme="minorHAnsi" w:hAnsiTheme="minorHAnsi"/>
        </w:rPr>
        <w:t>,</w:t>
      </w:r>
    </w:p>
    <w:p w:rsidR="00B97AAF" w:rsidRPr="009951C8" w:rsidRDefault="00B97AAF" w:rsidP="00E85CDD">
      <w:pPr>
        <w:pStyle w:val="Default"/>
        <w:numPr>
          <w:ilvl w:val="0"/>
          <w:numId w:val="3"/>
        </w:numPr>
        <w:jc w:val="both"/>
        <w:rPr>
          <w:rFonts w:asciiTheme="minorHAnsi" w:hAnsiTheme="minorHAnsi"/>
        </w:rPr>
      </w:pPr>
      <w:r w:rsidRPr="00AF6B22">
        <w:rPr>
          <w:rFonts w:asciiTheme="minorHAnsi" w:hAnsiTheme="minorHAnsi"/>
        </w:rPr>
        <w:t>qualità e formazione professionale</w:t>
      </w:r>
      <w:r w:rsidRPr="009951C8">
        <w:rPr>
          <w:rFonts w:asciiTheme="minorHAnsi" w:hAnsiTheme="minorHAnsi"/>
        </w:rPr>
        <w:t xml:space="preserve">, </w:t>
      </w:r>
    </w:p>
    <w:p w:rsidR="00B97AAF" w:rsidRPr="009951C8" w:rsidRDefault="00B97AAF" w:rsidP="00E85CDD">
      <w:pPr>
        <w:pStyle w:val="Default"/>
        <w:numPr>
          <w:ilvl w:val="0"/>
          <w:numId w:val="3"/>
        </w:numPr>
        <w:jc w:val="both"/>
        <w:rPr>
          <w:rFonts w:asciiTheme="minorHAnsi" w:hAnsiTheme="minorHAnsi"/>
        </w:rPr>
      </w:pPr>
      <w:r w:rsidRPr="00AF6B22">
        <w:rPr>
          <w:rFonts w:asciiTheme="minorHAnsi" w:hAnsiTheme="minorHAnsi"/>
        </w:rPr>
        <w:t>rapporti con i Cittadini</w:t>
      </w:r>
      <w:r w:rsidR="00B33EB9">
        <w:rPr>
          <w:rFonts w:asciiTheme="minorHAnsi" w:hAnsiTheme="minorHAnsi"/>
        </w:rPr>
        <w:t xml:space="preserve"> o </w:t>
      </w:r>
      <w:r w:rsidR="00B33EB9" w:rsidRPr="00B33EB9">
        <w:rPr>
          <w:rFonts w:asciiTheme="minorHAnsi" w:hAnsiTheme="minorHAnsi"/>
        </w:rPr>
        <w:t>rapporti interni/esterni con e per conto dell'Istituto</w:t>
      </w:r>
      <w:r w:rsidRPr="009951C8">
        <w:rPr>
          <w:rFonts w:asciiTheme="minorHAnsi" w:hAnsiTheme="minorHAnsi"/>
        </w:rPr>
        <w:t xml:space="preserve">, </w:t>
      </w:r>
    </w:p>
    <w:p w:rsidR="00B97AAF" w:rsidRPr="009951C8" w:rsidRDefault="008C6AF5" w:rsidP="00E85CDD">
      <w:pPr>
        <w:pStyle w:val="Default"/>
        <w:numPr>
          <w:ilvl w:val="0"/>
          <w:numId w:val="3"/>
        </w:numPr>
        <w:jc w:val="both"/>
        <w:rPr>
          <w:rFonts w:asciiTheme="minorHAnsi" w:hAnsiTheme="minorHAnsi"/>
        </w:rPr>
      </w:pPr>
      <w:r>
        <w:rPr>
          <w:rFonts w:asciiTheme="minorHAnsi" w:hAnsiTheme="minorHAnsi"/>
        </w:rPr>
        <w:t>c</w:t>
      </w:r>
      <w:r w:rsidR="00B97AAF" w:rsidRPr="00AF6B22">
        <w:rPr>
          <w:rFonts w:asciiTheme="minorHAnsi" w:hAnsiTheme="minorHAnsi"/>
        </w:rPr>
        <w:t>ontributo individuale</w:t>
      </w:r>
      <w:r w:rsidR="00B97AAF" w:rsidRPr="009951C8">
        <w:rPr>
          <w:rFonts w:asciiTheme="minorHAnsi" w:hAnsiTheme="minorHAnsi"/>
        </w:rPr>
        <w:t xml:space="preserve"> alle a</w:t>
      </w:r>
      <w:r w:rsidR="00B97AAF" w:rsidRPr="00AF6B22">
        <w:rPr>
          <w:rFonts w:asciiTheme="minorHAnsi" w:hAnsiTheme="minorHAnsi"/>
        </w:rPr>
        <w:t>ttività relativa agli obiettivi di budget dell'anno in corso</w:t>
      </w:r>
      <w:r w:rsidR="00B97AAF" w:rsidRPr="009951C8">
        <w:rPr>
          <w:rFonts w:asciiTheme="minorHAnsi" w:hAnsiTheme="minorHAnsi"/>
        </w:rPr>
        <w:t xml:space="preserve"> </w:t>
      </w:r>
    </w:p>
    <w:p w:rsidR="00B97AAF" w:rsidRDefault="00B97AAF" w:rsidP="00E85CDD">
      <w:pPr>
        <w:pStyle w:val="Default"/>
        <w:numPr>
          <w:ilvl w:val="0"/>
          <w:numId w:val="3"/>
        </w:numPr>
        <w:jc w:val="both"/>
        <w:rPr>
          <w:rFonts w:asciiTheme="minorHAnsi" w:hAnsiTheme="minorHAnsi"/>
        </w:rPr>
      </w:pPr>
      <w:r w:rsidRPr="00AF6B22">
        <w:rPr>
          <w:rFonts w:asciiTheme="minorHAnsi" w:hAnsiTheme="minorHAnsi"/>
        </w:rPr>
        <w:t>attività scientifiche e didattiche</w:t>
      </w:r>
      <w:r w:rsidR="00901685">
        <w:rPr>
          <w:rFonts w:asciiTheme="minorHAnsi" w:hAnsiTheme="minorHAnsi"/>
        </w:rPr>
        <w:t>.</w:t>
      </w:r>
    </w:p>
    <w:p w:rsidR="00901685" w:rsidRPr="002837C2" w:rsidRDefault="00901685" w:rsidP="00E85CDD">
      <w:pPr>
        <w:autoSpaceDE w:val="0"/>
        <w:autoSpaceDN w:val="0"/>
        <w:adjustRightInd w:val="0"/>
        <w:spacing w:after="0" w:line="240" w:lineRule="auto"/>
        <w:jc w:val="both"/>
        <w:rPr>
          <w:rFonts w:cs="Times New Roman"/>
          <w:sz w:val="24"/>
          <w:szCs w:val="24"/>
        </w:rPr>
      </w:pPr>
      <w:r w:rsidRPr="002837C2">
        <w:rPr>
          <w:rFonts w:cs="Times New Roman"/>
          <w:sz w:val="24"/>
          <w:szCs w:val="24"/>
        </w:rPr>
        <w:t>Le diverse dimensioni sono “pesate” attraverso coefficienti di correzione variabili che contribuiscono a rendere il punteggio coerente con le responsabilità dirigenziali attribuite. Ciascuna dimensione è scomposta in più fattori di osservazione, il cui valore medio moltiplicato per il coefficiente fornisce il valore della dimensione</w:t>
      </w:r>
      <w:r w:rsidR="00693488" w:rsidRPr="002837C2">
        <w:rPr>
          <w:rFonts w:cs="Times New Roman"/>
          <w:sz w:val="24"/>
          <w:szCs w:val="24"/>
        </w:rPr>
        <w:t>.</w:t>
      </w:r>
    </w:p>
    <w:p w:rsidR="00E336E8" w:rsidRDefault="00E336E8" w:rsidP="00E85CDD">
      <w:pPr>
        <w:autoSpaceDE w:val="0"/>
        <w:autoSpaceDN w:val="0"/>
        <w:adjustRightInd w:val="0"/>
        <w:spacing w:after="0" w:line="240" w:lineRule="auto"/>
        <w:jc w:val="both"/>
        <w:rPr>
          <w:rFonts w:cs="Times New Roman"/>
          <w:sz w:val="24"/>
          <w:szCs w:val="24"/>
        </w:rPr>
      </w:pPr>
      <w:r w:rsidRPr="002837C2">
        <w:rPr>
          <w:rFonts w:cs="Times New Roman"/>
          <w:sz w:val="24"/>
          <w:szCs w:val="24"/>
        </w:rPr>
        <w:t>Tra i fattori di osservazioni sono ricompresi anche gli obiettivi descritti nella scheda di budget al fine di rendere coerenti i due strumenti di valutazione.</w:t>
      </w:r>
    </w:p>
    <w:p w:rsidR="00A81BB4" w:rsidRPr="00A81BB4" w:rsidRDefault="00A81BB4" w:rsidP="00E85CDD">
      <w:pPr>
        <w:autoSpaceDE w:val="0"/>
        <w:autoSpaceDN w:val="0"/>
        <w:adjustRightInd w:val="0"/>
        <w:spacing w:after="0" w:line="240" w:lineRule="auto"/>
        <w:jc w:val="both"/>
        <w:rPr>
          <w:rFonts w:cs="Times New Roman"/>
          <w:sz w:val="8"/>
          <w:szCs w:val="8"/>
        </w:rPr>
      </w:pPr>
    </w:p>
    <w:p w:rsidR="00E336E8" w:rsidRDefault="00E336E8" w:rsidP="00E85CDD">
      <w:pPr>
        <w:autoSpaceDE w:val="0"/>
        <w:autoSpaceDN w:val="0"/>
        <w:adjustRightInd w:val="0"/>
        <w:spacing w:after="0" w:line="240" w:lineRule="auto"/>
        <w:jc w:val="both"/>
        <w:rPr>
          <w:rFonts w:cs="Times New Roman"/>
          <w:sz w:val="24"/>
          <w:szCs w:val="24"/>
        </w:rPr>
      </w:pPr>
      <w:r w:rsidRPr="002837C2">
        <w:rPr>
          <w:rFonts w:cs="Times New Roman"/>
          <w:sz w:val="24"/>
          <w:szCs w:val="24"/>
        </w:rPr>
        <w:t xml:space="preserve">La </w:t>
      </w:r>
      <w:r w:rsidRPr="002837C2">
        <w:rPr>
          <w:rFonts w:cs="Times New Roman"/>
          <w:sz w:val="24"/>
          <w:szCs w:val="24"/>
          <w:u w:val="single"/>
        </w:rPr>
        <w:t>valutazione individuale del comparto</w:t>
      </w:r>
      <w:r w:rsidRPr="002837C2">
        <w:rPr>
          <w:rFonts w:cs="Times New Roman"/>
          <w:sz w:val="24"/>
          <w:szCs w:val="24"/>
        </w:rPr>
        <w:t xml:space="preserve"> è effettuata tramite una scheda semplificata che considera due dimensioni</w:t>
      </w:r>
      <w:r w:rsidR="00C46C96" w:rsidRPr="002837C2">
        <w:rPr>
          <w:rFonts w:cs="Times New Roman"/>
          <w:sz w:val="24"/>
          <w:szCs w:val="24"/>
        </w:rPr>
        <w:t xml:space="preserve">: </w:t>
      </w:r>
      <w:r w:rsidRPr="002837C2">
        <w:rPr>
          <w:rFonts w:cs="Times New Roman"/>
          <w:sz w:val="24"/>
          <w:szCs w:val="24"/>
        </w:rPr>
        <w:t>contributo individuale agli obiettivi di budget di gruppo e componenti professionali ed organizzative.</w:t>
      </w:r>
      <w:r w:rsidR="00BF0130">
        <w:rPr>
          <w:rFonts w:cs="Times New Roman"/>
          <w:sz w:val="24"/>
          <w:szCs w:val="24"/>
        </w:rPr>
        <w:t xml:space="preserve"> </w:t>
      </w:r>
    </w:p>
    <w:p w:rsidR="00D2173B" w:rsidRDefault="00D2173B" w:rsidP="00E85CDD">
      <w:pPr>
        <w:autoSpaceDE w:val="0"/>
        <w:autoSpaceDN w:val="0"/>
        <w:adjustRightInd w:val="0"/>
        <w:spacing w:after="0" w:line="240" w:lineRule="auto"/>
        <w:jc w:val="both"/>
        <w:rPr>
          <w:rFonts w:cs="Times New Roman"/>
          <w:sz w:val="24"/>
          <w:szCs w:val="24"/>
        </w:rPr>
      </w:pPr>
    </w:p>
    <w:p w:rsidR="00BF0130" w:rsidRPr="009F5C24" w:rsidRDefault="00E46CE6" w:rsidP="00E85CDD">
      <w:pPr>
        <w:autoSpaceDE w:val="0"/>
        <w:autoSpaceDN w:val="0"/>
        <w:adjustRightInd w:val="0"/>
        <w:spacing w:after="0" w:line="240" w:lineRule="auto"/>
        <w:jc w:val="both"/>
        <w:rPr>
          <w:rFonts w:cs="Times New Roman"/>
          <w:sz w:val="24"/>
          <w:szCs w:val="24"/>
        </w:rPr>
      </w:pPr>
      <w:r w:rsidRPr="009F5C24">
        <w:rPr>
          <w:rFonts w:cs="Times New Roman"/>
          <w:sz w:val="24"/>
          <w:szCs w:val="24"/>
        </w:rPr>
        <w:t>La valutazione individuale positiva rappresenta</w:t>
      </w:r>
      <w:r w:rsidR="009A4D6F" w:rsidRPr="009F5C24">
        <w:rPr>
          <w:rFonts w:cs="Times New Roman"/>
          <w:sz w:val="24"/>
          <w:szCs w:val="24"/>
        </w:rPr>
        <w:t>,</w:t>
      </w:r>
      <w:r w:rsidRPr="009F5C24">
        <w:rPr>
          <w:rFonts w:cs="Times New Roman"/>
          <w:sz w:val="24"/>
          <w:szCs w:val="24"/>
        </w:rPr>
        <w:t xml:space="preserve"> sia per la dirigenza che per il comparto</w:t>
      </w:r>
      <w:r w:rsidR="009A4D6F" w:rsidRPr="009F5C24">
        <w:rPr>
          <w:rFonts w:cs="Times New Roman"/>
          <w:sz w:val="24"/>
          <w:szCs w:val="24"/>
        </w:rPr>
        <w:t>,</w:t>
      </w:r>
      <w:r w:rsidRPr="009F5C24">
        <w:rPr>
          <w:rFonts w:cs="Times New Roman"/>
          <w:sz w:val="24"/>
          <w:szCs w:val="24"/>
        </w:rPr>
        <w:t xml:space="preserve"> la precondizione per accedere ai sistemi di incentivazione. Non vi sono graduazioni ulteriori di valutazione all’intero di un giudizio positivo complessivo.</w:t>
      </w:r>
      <w:r w:rsidR="00BF0130" w:rsidRPr="009F5C24">
        <w:rPr>
          <w:rFonts w:cs="Times New Roman"/>
          <w:sz w:val="24"/>
          <w:szCs w:val="24"/>
        </w:rPr>
        <w:t xml:space="preserve"> </w:t>
      </w:r>
    </w:p>
    <w:p w:rsidR="00BF0130" w:rsidRPr="00BF0130" w:rsidRDefault="00BF0130" w:rsidP="00E85CDD">
      <w:pPr>
        <w:pStyle w:val="Default"/>
        <w:jc w:val="both"/>
        <w:rPr>
          <w:rFonts w:asciiTheme="minorHAnsi" w:hAnsiTheme="minorHAnsi" w:cs="Times New Roman"/>
          <w:color w:val="auto"/>
        </w:rPr>
      </w:pPr>
    </w:p>
    <w:p w:rsidR="00125342" w:rsidRPr="0077208B" w:rsidRDefault="00BF0130" w:rsidP="00E85CDD">
      <w:pPr>
        <w:pStyle w:val="NormaleWeb"/>
        <w:spacing w:before="0" w:beforeAutospacing="0" w:after="0" w:afterAutospacing="0"/>
        <w:ind w:firstLine="288"/>
        <w:jc w:val="both"/>
        <w:rPr>
          <w:rFonts w:asciiTheme="minorHAnsi" w:hAnsiTheme="minorHAnsi"/>
          <w:lang w:eastAsia="en-US"/>
        </w:rPr>
      </w:pPr>
      <w:r w:rsidRPr="00F233DA">
        <w:rPr>
          <w:rFonts w:asciiTheme="minorHAnsi" w:hAnsiTheme="minorHAnsi"/>
          <w:lang w:eastAsia="en-US"/>
        </w:rPr>
        <w:t>Per l’anno 201</w:t>
      </w:r>
      <w:r w:rsidR="00E846F4" w:rsidRPr="00F233DA">
        <w:rPr>
          <w:rFonts w:asciiTheme="minorHAnsi" w:hAnsiTheme="minorHAnsi"/>
          <w:lang w:eastAsia="en-US"/>
        </w:rPr>
        <w:t>5</w:t>
      </w:r>
      <w:r w:rsidRPr="00F233DA">
        <w:rPr>
          <w:rFonts w:asciiTheme="minorHAnsi" w:hAnsiTheme="minorHAnsi"/>
          <w:lang w:eastAsia="en-US"/>
        </w:rPr>
        <w:t xml:space="preserve"> la valutazione della performance individuale del personale del comparto si è conclusa in data </w:t>
      </w:r>
      <w:r w:rsidR="00E846F4" w:rsidRPr="00F233DA">
        <w:rPr>
          <w:rFonts w:asciiTheme="minorHAnsi" w:hAnsiTheme="minorHAnsi"/>
          <w:lang w:eastAsia="en-US"/>
        </w:rPr>
        <w:t>23</w:t>
      </w:r>
      <w:r w:rsidRPr="00F233DA">
        <w:rPr>
          <w:rFonts w:asciiTheme="minorHAnsi" w:hAnsiTheme="minorHAnsi"/>
          <w:lang w:eastAsia="en-US"/>
        </w:rPr>
        <w:t xml:space="preserve"> giugno 201</w:t>
      </w:r>
      <w:r w:rsidR="00E846F4" w:rsidRPr="00F233DA">
        <w:rPr>
          <w:rFonts w:asciiTheme="minorHAnsi" w:hAnsiTheme="minorHAnsi"/>
          <w:lang w:eastAsia="en-US"/>
        </w:rPr>
        <w:t>6</w:t>
      </w:r>
      <w:r w:rsidRPr="00F233DA">
        <w:rPr>
          <w:rFonts w:asciiTheme="minorHAnsi" w:hAnsiTheme="minorHAnsi"/>
          <w:lang w:eastAsia="en-US"/>
        </w:rPr>
        <w:t xml:space="preserve"> e tutte le schede sono positive. Per quanto riguarda la valutazione del personale della dirig</w:t>
      </w:r>
      <w:r w:rsidR="009F5C24" w:rsidRPr="00F233DA">
        <w:rPr>
          <w:rFonts w:asciiTheme="minorHAnsi" w:hAnsiTheme="minorHAnsi"/>
          <w:lang w:eastAsia="en-US"/>
        </w:rPr>
        <w:t xml:space="preserve">enza, </w:t>
      </w:r>
      <w:r w:rsidRPr="00F233DA">
        <w:rPr>
          <w:rFonts w:asciiTheme="minorHAnsi" w:hAnsiTheme="minorHAnsi"/>
          <w:lang w:eastAsia="en-US"/>
        </w:rPr>
        <w:t xml:space="preserve">è in corso </w:t>
      </w:r>
      <w:r w:rsidR="00125342" w:rsidRPr="00F233DA">
        <w:rPr>
          <w:rFonts w:asciiTheme="minorHAnsi" w:hAnsiTheme="minorHAnsi"/>
          <w:lang w:eastAsia="en-US"/>
        </w:rPr>
        <w:t>la procedura di valutazione di prima istanza da parte del responsabile della struttura a cui appartiene il dirigente valutato o, comunque, del suo diretto superiore con gli stessi criteri utilizzati negli anni precedenti. La valutazione di seconda istanza di competenza dell’OIVP verrà svolta durante la prossima riunione</w:t>
      </w:r>
      <w:r w:rsidR="004259B0">
        <w:rPr>
          <w:rFonts w:asciiTheme="minorHAnsi" w:hAnsiTheme="minorHAnsi"/>
          <w:lang w:eastAsia="en-US"/>
        </w:rPr>
        <w:t xml:space="preserve"> in programma nel mese di luglio</w:t>
      </w:r>
      <w:r w:rsidR="00125342" w:rsidRPr="00F233DA">
        <w:rPr>
          <w:rFonts w:asciiTheme="minorHAnsi" w:hAnsiTheme="minorHAnsi"/>
          <w:lang w:eastAsia="en-US"/>
        </w:rPr>
        <w:t>.</w:t>
      </w:r>
      <w:r w:rsidR="00125342" w:rsidRPr="0077208B">
        <w:rPr>
          <w:rFonts w:asciiTheme="minorHAnsi" w:hAnsiTheme="minorHAnsi"/>
          <w:lang w:eastAsia="en-US"/>
        </w:rPr>
        <w:t xml:space="preserve"> </w:t>
      </w:r>
    </w:p>
    <w:p w:rsidR="00E46CE6" w:rsidRPr="0077208B" w:rsidRDefault="00E46CE6" w:rsidP="002837C2">
      <w:pPr>
        <w:autoSpaceDE w:val="0"/>
        <w:autoSpaceDN w:val="0"/>
        <w:adjustRightInd w:val="0"/>
        <w:spacing w:line="360" w:lineRule="auto"/>
        <w:jc w:val="both"/>
        <w:rPr>
          <w:rFonts w:cs="Times New Roman"/>
          <w:sz w:val="24"/>
          <w:szCs w:val="24"/>
        </w:rPr>
      </w:pPr>
    </w:p>
    <w:p w:rsidR="001B0622" w:rsidRDefault="009A4D6F" w:rsidP="005C5CCC">
      <w:pPr>
        <w:ind w:hanging="90"/>
        <w:rPr>
          <w:sz w:val="24"/>
          <w:szCs w:val="24"/>
        </w:rPr>
      </w:pPr>
      <w:r w:rsidRPr="0057340E">
        <w:rPr>
          <w:sz w:val="24"/>
          <w:szCs w:val="24"/>
        </w:rPr>
        <w:t xml:space="preserve">Aviano, </w:t>
      </w:r>
      <w:r w:rsidR="004C4770">
        <w:rPr>
          <w:sz w:val="24"/>
          <w:szCs w:val="24"/>
        </w:rPr>
        <w:t xml:space="preserve">29 giugno </w:t>
      </w:r>
      <w:r w:rsidR="002837C2" w:rsidRPr="0057340E">
        <w:rPr>
          <w:sz w:val="24"/>
          <w:szCs w:val="24"/>
        </w:rPr>
        <w:t xml:space="preserve"> 201</w:t>
      </w:r>
      <w:r w:rsidR="00E846F4" w:rsidRPr="0057340E">
        <w:rPr>
          <w:sz w:val="24"/>
          <w:szCs w:val="24"/>
        </w:rPr>
        <w:t>6</w:t>
      </w:r>
    </w:p>
    <w:p w:rsidR="001B0622" w:rsidRDefault="001B0622" w:rsidP="005C5CCC">
      <w:pPr>
        <w:ind w:hanging="90"/>
        <w:rPr>
          <w:sz w:val="24"/>
          <w:szCs w:val="24"/>
        </w:rPr>
      </w:pPr>
    </w:p>
    <w:p w:rsidR="00814F55" w:rsidRDefault="00814F55" w:rsidP="005C5CCC">
      <w:pPr>
        <w:ind w:hanging="90"/>
        <w:rPr>
          <w:sz w:val="24"/>
          <w:szCs w:val="24"/>
        </w:rPr>
      </w:pPr>
    </w:p>
    <w:p w:rsidR="00814F55" w:rsidRDefault="00814F55" w:rsidP="005C5CCC">
      <w:pPr>
        <w:ind w:hanging="90"/>
        <w:rPr>
          <w:sz w:val="24"/>
          <w:szCs w:val="24"/>
        </w:rPr>
      </w:pPr>
    </w:p>
    <w:p w:rsidR="00122F2C" w:rsidRDefault="00122F2C" w:rsidP="005C5CCC">
      <w:pPr>
        <w:ind w:hanging="90"/>
        <w:rPr>
          <w:sz w:val="24"/>
          <w:szCs w:val="24"/>
        </w:rPr>
      </w:pPr>
    </w:p>
    <w:p w:rsidR="00122F2C" w:rsidRPr="00122F2C" w:rsidRDefault="00122F2C" w:rsidP="00122F2C">
      <w:pPr>
        <w:ind w:left="6390" w:right="8"/>
        <w:jc w:val="center"/>
        <w:rPr>
          <w:rFonts w:ascii="Bookman Old Style" w:hAnsi="Bookman Old Style" w:cs="Arial"/>
          <w:szCs w:val="24"/>
        </w:rPr>
      </w:pPr>
      <w:r w:rsidRPr="00122F2C">
        <w:rPr>
          <w:rFonts w:ascii="Bookman Old Style" w:hAnsi="Bookman Old Style" w:cs="Arial"/>
          <w:szCs w:val="24"/>
        </w:rPr>
        <w:t>Il Direttore Generale</w:t>
      </w:r>
    </w:p>
    <w:p w:rsidR="00122F2C" w:rsidRPr="00122F2C" w:rsidRDefault="00122F2C" w:rsidP="00122F2C">
      <w:pPr>
        <w:ind w:left="6570" w:right="-82"/>
        <w:jc w:val="center"/>
        <w:rPr>
          <w:rFonts w:ascii="Bookman Old Style" w:hAnsi="Bookman Old Style" w:cs="Arial"/>
          <w:szCs w:val="24"/>
        </w:rPr>
      </w:pPr>
      <w:r w:rsidRPr="00122F2C">
        <w:rPr>
          <w:rFonts w:ascii="Bookman Old Style" w:hAnsi="Bookman Old Style" w:cs="Arial"/>
          <w:szCs w:val="24"/>
        </w:rPr>
        <w:t>Dott. Ing. Mario Tubertini</w:t>
      </w:r>
    </w:p>
    <w:sectPr w:rsidR="00122F2C" w:rsidRPr="00122F2C" w:rsidSect="004C4770">
      <w:type w:val="continuous"/>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22A" w:rsidRDefault="00A9622A" w:rsidP="0036369C">
      <w:pPr>
        <w:spacing w:after="0" w:line="240" w:lineRule="auto"/>
      </w:pPr>
      <w:r>
        <w:separator/>
      </w:r>
    </w:p>
  </w:endnote>
  <w:endnote w:type="continuationSeparator" w:id="0">
    <w:p w:rsidR="00A9622A" w:rsidRDefault="00A9622A" w:rsidP="003636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cimaWE Rg">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cimaWE">
    <w:altName w:val="Decima W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cimaWERg">
    <w:altName w:val="Times New Roman"/>
    <w:panose1 w:val="00000000000000000000"/>
    <w:charset w:val="00"/>
    <w:family w:val="auto"/>
    <w:notTrueType/>
    <w:pitch w:val="default"/>
    <w:sig w:usb0="00000003" w:usb1="00000000" w:usb2="00000000" w:usb3="00000000" w:csb0="00000001" w:csb1="00000000"/>
  </w:font>
  <w:font w:name="DecimaWE-Regular">
    <w:altName w:val="MS Gothic"/>
    <w:panose1 w:val="00000000000000000000"/>
    <w:charset w:val="00"/>
    <w:family w:val="swiss"/>
    <w:notTrueType/>
    <w:pitch w:val="default"/>
    <w:sig w:usb0="00000000" w:usb1="08070000" w:usb2="00000010" w:usb3="00000000" w:csb0="0002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DecimaWERg,Bold">
    <w:altName w:val="Cambria"/>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22A" w:rsidRDefault="00E976F7">
    <w:pPr>
      <w:pStyle w:val="Pidipagina"/>
      <w:framePr w:wrap="around" w:vAnchor="text" w:hAnchor="margin" w:xAlign="right" w:y="1"/>
      <w:rPr>
        <w:rStyle w:val="Numeropagina"/>
      </w:rPr>
    </w:pPr>
    <w:r>
      <w:rPr>
        <w:rStyle w:val="Numeropagina"/>
      </w:rPr>
      <w:fldChar w:fldCharType="begin"/>
    </w:r>
    <w:r w:rsidR="00A9622A">
      <w:rPr>
        <w:rStyle w:val="Numeropagina"/>
      </w:rPr>
      <w:instrText xml:space="preserve">PAGE  </w:instrText>
    </w:r>
    <w:r>
      <w:rPr>
        <w:rStyle w:val="Numeropagina"/>
      </w:rPr>
      <w:fldChar w:fldCharType="separate"/>
    </w:r>
    <w:r w:rsidR="00A9622A">
      <w:rPr>
        <w:rStyle w:val="Numeropagina"/>
        <w:noProof/>
      </w:rPr>
      <w:t>1</w:t>
    </w:r>
    <w:r>
      <w:rPr>
        <w:rStyle w:val="Numeropagina"/>
      </w:rPr>
      <w:fldChar w:fldCharType="end"/>
    </w:r>
  </w:p>
  <w:p w:rsidR="00A9622A" w:rsidRDefault="00A9622A">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93983391"/>
      <w:docPartObj>
        <w:docPartGallery w:val="Page Numbers (Bottom of Page)"/>
        <w:docPartUnique/>
      </w:docPartObj>
    </w:sdtPr>
    <w:sdtContent>
      <w:sdt>
        <w:sdtPr>
          <w:rPr>
            <w:rFonts w:asciiTheme="majorHAnsi" w:eastAsiaTheme="majorEastAsia" w:hAnsiTheme="majorHAnsi" w:cstheme="majorBidi"/>
          </w:rPr>
          <w:id w:val="93983392"/>
          <w:docPartObj>
            <w:docPartGallery w:val="Page Numbers (Margins)"/>
            <w:docPartUnique/>
          </w:docPartObj>
        </w:sdtPr>
        <w:sdtContent>
          <w:p w:rsidR="00A9622A" w:rsidRDefault="00E976F7">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12297" style="position:absolute;margin-left:0;margin-top:0;width:31.55pt;height:22.45pt;z-index:251660288;mso-position-horizontal:center;mso-position-horizontal-relative:margin;mso-position-vertical:center;mso-position-vertical-relative:bottom-margin-area;v-text-anchor:middle" fillcolor="#365f91 [2404]" stroked="f">
                  <v:textbox style="mso-next-textbox:#_x0000_s12297">
                    <w:txbxContent>
                      <w:p w:rsidR="00A9622A" w:rsidRPr="003F4E0C" w:rsidRDefault="00E976F7">
                        <w:pPr>
                          <w:pStyle w:val="Pidipagina"/>
                          <w:jc w:val="center"/>
                          <w:rPr>
                            <w:b/>
                            <w:color w:val="FFFFFF" w:themeColor="background1"/>
                            <w:sz w:val="16"/>
                            <w:szCs w:val="16"/>
                          </w:rPr>
                        </w:pPr>
                        <w:r w:rsidRPr="003F4E0C">
                          <w:rPr>
                            <w:sz w:val="16"/>
                            <w:szCs w:val="16"/>
                          </w:rPr>
                          <w:fldChar w:fldCharType="begin"/>
                        </w:r>
                        <w:r w:rsidR="00A9622A" w:rsidRPr="003F4E0C">
                          <w:rPr>
                            <w:sz w:val="16"/>
                            <w:szCs w:val="16"/>
                          </w:rPr>
                          <w:instrText xml:space="preserve"> PAGE    \* MERGEFORMAT </w:instrText>
                        </w:r>
                        <w:r w:rsidRPr="003F4E0C">
                          <w:rPr>
                            <w:sz w:val="16"/>
                            <w:szCs w:val="16"/>
                          </w:rPr>
                          <w:fldChar w:fldCharType="separate"/>
                        </w:r>
                        <w:r w:rsidR="004B0282" w:rsidRPr="004B0282">
                          <w:rPr>
                            <w:b/>
                            <w:noProof/>
                            <w:color w:val="FFFFFF" w:themeColor="background1"/>
                            <w:sz w:val="16"/>
                            <w:szCs w:val="16"/>
                          </w:rPr>
                          <w:t>38</w:t>
                        </w:r>
                        <w:r w:rsidRPr="003F4E0C">
                          <w:rPr>
                            <w:sz w:val="16"/>
                            <w:szCs w:val="16"/>
                          </w:rPr>
                          <w:fldChar w:fldCharType="end"/>
                        </w:r>
                      </w:p>
                    </w:txbxContent>
                  </v:textbox>
                  <w10:wrap anchorx="margin" anchory="page"/>
                </v:oval>
              </w:pict>
            </w:r>
          </w:p>
        </w:sdtContent>
      </w:sdt>
    </w:sdtContent>
  </w:sdt>
  <w:p w:rsidR="00A9622A" w:rsidRDefault="00A9622A">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22A" w:rsidRDefault="00A9622A" w:rsidP="0036369C">
      <w:pPr>
        <w:spacing w:after="0" w:line="240" w:lineRule="auto"/>
      </w:pPr>
      <w:r>
        <w:separator/>
      </w:r>
    </w:p>
  </w:footnote>
  <w:footnote w:type="continuationSeparator" w:id="0">
    <w:p w:rsidR="00A9622A" w:rsidRDefault="00A9622A" w:rsidP="003636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0FE2"/>
    <w:multiLevelType w:val="hybridMultilevel"/>
    <w:tmpl w:val="EAC6343A"/>
    <w:lvl w:ilvl="0" w:tplc="04100017">
      <w:start w:val="1"/>
      <w:numFmt w:val="lowerLetter"/>
      <w:lvlText w:val="%1)"/>
      <w:lvlJc w:val="left"/>
      <w:pPr>
        <w:tabs>
          <w:tab w:val="num" w:pos="1440"/>
        </w:tabs>
        <w:ind w:left="1440" w:hanging="360"/>
      </w:pPr>
      <w:rPr>
        <w:rFonts w:cs="Times New Roman"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51238FA"/>
    <w:multiLevelType w:val="hybridMultilevel"/>
    <w:tmpl w:val="34B6A9B6"/>
    <w:lvl w:ilvl="0" w:tplc="04100001">
      <w:start w:val="1"/>
      <w:numFmt w:val="bullet"/>
      <w:lvlText w:val=""/>
      <w:lvlJc w:val="left"/>
      <w:pPr>
        <w:tabs>
          <w:tab w:val="num" w:pos="1440"/>
        </w:tabs>
        <w:ind w:left="144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EA929E4"/>
    <w:multiLevelType w:val="hybridMultilevel"/>
    <w:tmpl w:val="8D8CD0E2"/>
    <w:lvl w:ilvl="0" w:tplc="0410000F">
      <w:start w:val="1"/>
      <w:numFmt w:val="decimal"/>
      <w:lvlText w:val="%1."/>
      <w:lvlJc w:val="left"/>
      <w:pPr>
        <w:ind w:left="490" w:hanging="360"/>
      </w:pPr>
    </w:lvl>
    <w:lvl w:ilvl="1" w:tplc="04100019" w:tentative="1">
      <w:start w:val="1"/>
      <w:numFmt w:val="lowerLetter"/>
      <w:lvlText w:val="%2."/>
      <w:lvlJc w:val="left"/>
      <w:pPr>
        <w:ind w:left="1210" w:hanging="360"/>
      </w:pPr>
    </w:lvl>
    <w:lvl w:ilvl="2" w:tplc="0410001B" w:tentative="1">
      <w:start w:val="1"/>
      <w:numFmt w:val="lowerRoman"/>
      <w:lvlText w:val="%3."/>
      <w:lvlJc w:val="right"/>
      <w:pPr>
        <w:ind w:left="1930" w:hanging="180"/>
      </w:pPr>
    </w:lvl>
    <w:lvl w:ilvl="3" w:tplc="0410000F" w:tentative="1">
      <w:start w:val="1"/>
      <w:numFmt w:val="decimal"/>
      <w:lvlText w:val="%4."/>
      <w:lvlJc w:val="left"/>
      <w:pPr>
        <w:ind w:left="2650" w:hanging="360"/>
      </w:pPr>
    </w:lvl>
    <w:lvl w:ilvl="4" w:tplc="04100019" w:tentative="1">
      <w:start w:val="1"/>
      <w:numFmt w:val="lowerLetter"/>
      <w:lvlText w:val="%5."/>
      <w:lvlJc w:val="left"/>
      <w:pPr>
        <w:ind w:left="3370" w:hanging="360"/>
      </w:pPr>
    </w:lvl>
    <w:lvl w:ilvl="5" w:tplc="0410001B" w:tentative="1">
      <w:start w:val="1"/>
      <w:numFmt w:val="lowerRoman"/>
      <w:lvlText w:val="%6."/>
      <w:lvlJc w:val="right"/>
      <w:pPr>
        <w:ind w:left="4090" w:hanging="180"/>
      </w:pPr>
    </w:lvl>
    <w:lvl w:ilvl="6" w:tplc="0410000F" w:tentative="1">
      <w:start w:val="1"/>
      <w:numFmt w:val="decimal"/>
      <w:lvlText w:val="%7."/>
      <w:lvlJc w:val="left"/>
      <w:pPr>
        <w:ind w:left="4810" w:hanging="360"/>
      </w:pPr>
    </w:lvl>
    <w:lvl w:ilvl="7" w:tplc="04100019" w:tentative="1">
      <w:start w:val="1"/>
      <w:numFmt w:val="lowerLetter"/>
      <w:lvlText w:val="%8."/>
      <w:lvlJc w:val="left"/>
      <w:pPr>
        <w:ind w:left="5530" w:hanging="360"/>
      </w:pPr>
    </w:lvl>
    <w:lvl w:ilvl="8" w:tplc="0410001B" w:tentative="1">
      <w:start w:val="1"/>
      <w:numFmt w:val="lowerRoman"/>
      <w:lvlText w:val="%9."/>
      <w:lvlJc w:val="right"/>
      <w:pPr>
        <w:ind w:left="6250" w:hanging="180"/>
      </w:pPr>
    </w:lvl>
  </w:abstractNum>
  <w:abstractNum w:abstractNumId="3">
    <w:nsid w:val="0FB2532D"/>
    <w:multiLevelType w:val="hybridMultilevel"/>
    <w:tmpl w:val="7C786F6A"/>
    <w:lvl w:ilvl="0" w:tplc="2E3E733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475155"/>
    <w:multiLevelType w:val="hybridMultilevel"/>
    <w:tmpl w:val="C38C4958"/>
    <w:lvl w:ilvl="0" w:tplc="04100001">
      <w:start w:val="1"/>
      <w:numFmt w:val="bullet"/>
      <w:lvlText w:val=""/>
      <w:lvlJc w:val="left"/>
      <w:pPr>
        <w:ind w:left="1000" w:hanging="360"/>
      </w:pPr>
      <w:rPr>
        <w:rFonts w:ascii="Symbol" w:hAnsi="Symbol" w:hint="default"/>
      </w:rPr>
    </w:lvl>
    <w:lvl w:ilvl="1" w:tplc="04100003" w:tentative="1">
      <w:start w:val="1"/>
      <w:numFmt w:val="bullet"/>
      <w:lvlText w:val="o"/>
      <w:lvlJc w:val="left"/>
      <w:pPr>
        <w:ind w:left="1720" w:hanging="360"/>
      </w:pPr>
      <w:rPr>
        <w:rFonts w:ascii="Courier New" w:hAnsi="Courier New" w:cs="Courier New" w:hint="default"/>
      </w:rPr>
    </w:lvl>
    <w:lvl w:ilvl="2" w:tplc="04100005" w:tentative="1">
      <w:start w:val="1"/>
      <w:numFmt w:val="bullet"/>
      <w:lvlText w:val=""/>
      <w:lvlJc w:val="left"/>
      <w:pPr>
        <w:ind w:left="2440" w:hanging="360"/>
      </w:pPr>
      <w:rPr>
        <w:rFonts w:ascii="Wingdings" w:hAnsi="Wingdings" w:hint="default"/>
      </w:rPr>
    </w:lvl>
    <w:lvl w:ilvl="3" w:tplc="04100001" w:tentative="1">
      <w:start w:val="1"/>
      <w:numFmt w:val="bullet"/>
      <w:lvlText w:val=""/>
      <w:lvlJc w:val="left"/>
      <w:pPr>
        <w:ind w:left="3160" w:hanging="360"/>
      </w:pPr>
      <w:rPr>
        <w:rFonts w:ascii="Symbol" w:hAnsi="Symbol" w:hint="default"/>
      </w:rPr>
    </w:lvl>
    <w:lvl w:ilvl="4" w:tplc="04100003" w:tentative="1">
      <w:start w:val="1"/>
      <w:numFmt w:val="bullet"/>
      <w:lvlText w:val="o"/>
      <w:lvlJc w:val="left"/>
      <w:pPr>
        <w:ind w:left="3880" w:hanging="360"/>
      </w:pPr>
      <w:rPr>
        <w:rFonts w:ascii="Courier New" w:hAnsi="Courier New" w:cs="Courier New" w:hint="default"/>
      </w:rPr>
    </w:lvl>
    <w:lvl w:ilvl="5" w:tplc="04100005" w:tentative="1">
      <w:start w:val="1"/>
      <w:numFmt w:val="bullet"/>
      <w:lvlText w:val=""/>
      <w:lvlJc w:val="left"/>
      <w:pPr>
        <w:ind w:left="4600" w:hanging="360"/>
      </w:pPr>
      <w:rPr>
        <w:rFonts w:ascii="Wingdings" w:hAnsi="Wingdings" w:hint="default"/>
      </w:rPr>
    </w:lvl>
    <w:lvl w:ilvl="6" w:tplc="04100001" w:tentative="1">
      <w:start w:val="1"/>
      <w:numFmt w:val="bullet"/>
      <w:lvlText w:val=""/>
      <w:lvlJc w:val="left"/>
      <w:pPr>
        <w:ind w:left="5320" w:hanging="360"/>
      </w:pPr>
      <w:rPr>
        <w:rFonts w:ascii="Symbol" w:hAnsi="Symbol" w:hint="default"/>
      </w:rPr>
    </w:lvl>
    <w:lvl w:ilvl="7" w:tplc="04100003" w:tentative="1">
      <w:start w:val="1"/>
      <w:numFmt w:val="bullet"/>
      <w:lvlText w:val="o"/>
      <w:lvlJc w:val="left"/>
      <w:pPr>
        <w:ind w:left="6040" w:hanging="360"/>
      </w:pPr>
      <w:rPr>
        <w:rFonts w:ascii="Courier New" w:hAnsi="Courier New" w:cs="Courier New" w:hint="default"/>
      </w:rPr>
    </w:lvl>
    <w:lvl w:ilvl="8" w:tplc="04100005" w:tentative="1">
      <w:start w:val="1"/>
      <w:numFmt w:val="bullet"/>
      <w:lvlText w:val=""/>
      <w:lvlJc w:val="left"/>
      <w:pPr>
        <w:ind w:left="6760" w:hanging="360"/>
      </w:pPr>
      <w:rPr>
        <w:rFonts w:ascii="Wingdings" w:hAnsi="Wingdings" w:hint="default"/>
      </w:rPr>
    </w:lvl>
  </w:abstractNum>
  <w:abstractNum w:abstractNumId="5">
    <w:nsid w:val="125D3307"/>
    <w:multiLevelType w:val="hybridMultilevel"/>
    <w:tmpl w:val="62666BAC"/>
    <w:lvl w:ilvl="0" w:tplc="0410000D">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nsid w:val="216F62BF"/>
    <w:multiLevelType w:val="hybridMultilevel"/>
    <w:tmpl w:val="2012D6E0"/>
    <w:lvl w:ilvl="0" w:tplc="04100001">
      <w:start w:val="1"/>
      <w:numFmt w:val="bullet"/>
      <w:lvlText w:val=""/>
      <w:lvlJc w:val="left"/>
      <w:pPr>
        <w:tabs>
          <w:tab w:val="num" w:pos="1440"/>
        </w:tabs>
        <w:ind w:left="144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1A43FA7"/>
    <w:multiLevelType w:val="hybridMultilevel"/>
    <w:tmpl w:val="42C25B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2E14AC3"/>
    <w:multiLevelType w:val="hybridMultilevel"/>
    <w:tmpl w:val="5374F4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4697C45"/>
    <w:multiLevelType w:val="hybridMultilevel"/>
    <w:tmpl w:val="8DD47F10"/>
    <w:lvl w:ilvl="0" w:tplc="04100001">
      <w:start w:val="1"/>
      <w:numFmt w:val="bullet"/>
      <w:lvlText w:val=""/>
      <w:lvlJc w:val="left"/>
      <w:pPr>
        <w:ind w:left="1350" w:hanging="360"/>
      </w:pPr>
      <w:rPr>
        <w:rFonts w:ascii="Symbol" w:hAnsi="Symbol" w:hint="default"/>
      </w:rPr>
    </w:lvl>
    <w:lvl w:ilvl="1" w:tplc="04100003" w:tentative="1">
      <w:start w:val="1"/>
      <w:numFmt w:val="bullet"/>
      <w:lvlText w:val="o"/>
      <w:lvlJc w:val="left"/>
      <w:pPr>
        <w:ind w:left="2070" w:hanging="360"/>
      </w:pPr>
      <w:rPr>
        <w:rFonts w:ascii="Courier New" w:hAnsi="Courier New" w:cs="Courier New" w:hint="default"/>
      </w:rPr>
    </w:lvl>
    <w:lvl w:ilvl="2" w:tplc="04100005" w:tentative="1">
      <w:start w:val="1"/>
      <w:numFmt w:val="bullet"/>
      <w:lvlText w:val=""/>
      <w:lvlJc w:val="left"/>
      <w:pPr>
        <w:ind w:left="2790" w:hanging="360"/>
      </w:pPr>
      <w:rPr>
        <w:rFonts w:ascii="Wingdings" w:hAnsi="Wingdings" w:hint="default"/>
      </w:rPr>
    </w:lvl>
    <w:lvl w:ilvl="3" w:tplc="04100001" w:tentative="1">
      <w:start w:val="1"/>
      <w:numFmt w:val="bullet"/>
      <w:lvlText w:val=""/>
      <w:lvlJc w:val="left"/>
      <w:pPr>
        <w:ind w:left="3510" w:hanging="360"/>
      </w:pPr>
      <w:rPr>
        <w:rFonts w:ascii="Symbol" w:hAnsi="Symbol" w:hint="default"/>
      </w:rPr>
    </w:lvl>
    <w:lvl w:ilvl="4" w:tplc="04100003" w:tentative="1">
      <w:start w:val="1"/>
      <w:numFmt w:val="bullet"/>
      <w:lvlText w:val="o"/>
      <w:lvlJc w:val="left"/>
      <w:pPr>
        <w:ind w:left="4230" w:hanging="360"/>
      </w:pPr>
      <w:rPr>
        <w:rFonts w:ascii="Courier New" w:hAnsi="Courier New" w:cs="Courier New" w:hint="default"/>
      </w:rPr>
    </w:lvl>
    <w:lvl w:ilvl="5" w:tplc="04100005" w:tentative="1">
      <w:start w:val="1"/>
      <w:numFmt w:val="bullet"/>
      <w:lvlText w:val=""/>
      <w:lvlJc w:val="left"/>
      <w:pPr>
        <w:ind w:left="4950" w:hanging="360"/>
      </w:pPr>
      <w:rPr>
        <w:rFonts w:ascii="Wingdings" w:hAnsi="Wingdings" w:hint="default"/>
      </w:rPr>
    </w:lvl>
    <w:lvl w:ilvl="6" w:tplc="04100001" w:tentative="1">
      <w:start w:val="1"/>
      <w:numFmt w:val="bullet"/>
      <w:lvlText w:val=""/>
      <w:lvlJc w:val="left"/>
      <w:pPr>
        <w:ind w:left="5670" w:hanging="360"/>
      </w:pPr>
      <w:rPr>
        <w:rFonts w:ascii="Symbol" w:hAnsi="Symbol" w:hint="default"/>
      </w:rPr>
    </w:lvl>
    <w:lvl w:ilvl="7" w:tplc="04100003" w:tentative="1">
      <w:start w:val="1"/>
      <w:numFmt w:val="bullet"/>
      <w:lvlText w:val="o"/>
      <w:lvlJc w:val="left"/>
      <w:pPr>
        <w:ind w:left="6390" w:hanging="360"/>
      </w:pPr>
      <w:rPr>
        <w:rFonts w:ascii="Courier New" w:hAnsi="Courier New" w:cs="Courier New" w:hint="default"/>
      </w:rPr>
    </w:lvl>
    <w:lvl w:ilvl="8" w:tplc="04100005" w:tentative="1">
      <w:start w:val="1"/>
      <w:numFmt w:val="bullet"/>
      <w:lvlText w:val=""/>
      <w:lvlJc w:val="left"/>
      <w:pPr>
        <w:ind w:left="7110" w:hanging="360"/>
      </w:pPr>
      <w:rPr>
        <w:rFonts w:ascii="Wingdings" w:hAnsi="Wingdings" w:hint="default"/>
      </w:rPr>
    </w:lvl>
  </w:abstractNum>
  <w:abstractNum w:abstractNumId="10">
    <w:nsid w:val="2A8E33EF"/>
    <w:multiLevelType w:val="hybridMultilevel"/>
    <w:tmpl w:val="449ED92C"/>
    <w:lvl w:ilvl="0" w:tplc="E358250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57926E4"/>
    <w:multiLevelType w:val="hybridMultilevel"/>
    <w:tmpl w:val="6646F7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5C9185E"/>
    <w:multiLevelType w:val="hybridMultilevel"/>
    <w:tmpl w:val="D20CD1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8B831EC"/>
    <w:multiLevelType w:val="hybridMultilevel"/>
    <w:tmpl w:val="7076BD9A"/>
    <w:lvl w:ilvl="0" w:tplc="69E046FA">
      <w:start w:val="15"/>
      <w:numFmt w:val="bullet"/>
      <w:lvlText w:val="-"/>
      <w:lvlJc w:val="left"/>
      <w:pPr>
        <w:ind w:left="720" w:hanging="360"/>
      </w:pPr>
      <w:rPr>
        <w:rFonts w:ascii="DecimaWE Rg" w:eastAsia="Times New Roman" w:hAnsi="DecimaWE Rg" w:hint="default"/>
      </w:rPr>
    </w:lvl>
    <w:lvl w:ilvl="1" w:tplc="04100003">
      <w:start w:val="1"/>
      <w:numFmt w:val="lowerLetter"/>
      <w:lvlText w:val="%2."/>
      <w:lvlJc w:val="left"/>
      <w:pPr>
        <w:ind w:left="1440" w:hanging="360"/>
      </w:pPr>
      <w:rPr>
        <w:rFonts w:ascii="Calibri" w:eastAsia="Times New Roman" w:hAnsi="Calibri" w:cs="Times New Roman"/>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A5053DD"/>
    <w:multiLevelType w:val="hybridMultilevel"/>
    <w:tmpl w:val="2494C89A"/>
    <w:lvl w:ilvl="0" w:tplc="2794CDE2">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C1668CB"/>
    <w:multiLevelType w:val="hybridMultilevel"/>
    <w:tmpl w:val="87729C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ECA11FD"/>
    <w:multiLevelType w:val="hybridMultilevel"/>
    <w:tmpl w:val="8D86C364"/>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nsid w:val="40676AB9"/>
    <w:multiLevelType w:val="hybridMultilevel"/>
    <w:tmpl w:val="F9E8CBB6"/>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8">
    <w:nsid w:val="40941F2D"/>
    <w:multiLevelType w:val="multilevel"/>
    <w:tmpl w:val="711832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ADC2B92"/>
    <w:multiLevelType w:val="hybridMultilevel"/>
    <w:tmpl w:val="D26AE1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BA53C22"/>
    <w:multiLevelType w:val="hybridMultilevel"/>
    <w:tmpl w:val="48045872"/>
    <w:lvl w:ilvl="0" w:tplc="0410000F">
      <w:start w:val="1"/>
      <w:numFmt w:val="decimal"/>
      <w:lvlText w:val="%1."/>
      <w:lvlJc w:val="left"/>
      <w:pPr>
        <w:tabs>
          <w:tab w:val="num" w:pos="1428"/>
        </w:tabs>
        <w:ind w:left="1428" w:hanging="360"/>
      </w:pPr>
      <w:rPr>
        <w:rFonts w:cs="Times New Roman"/>
      </w:rPr>
    </w:lvl>
    <w:lvl w:ilvl="1" w:tplc="04100019">
      <w:start w:val="1"/>
      <w:numFmt w:val="lowerLetter"/>
      <w:lvlText w:val="%2."/>
      <w:lvlJc w:val="left"/>
      <w:pPr>
        <w:tabs>
          <w:tab w:val="num" w:pos="2148"/>
        </w:tabs>
        <w:ind w:left="2148" w:hanging="360"/>
      </w:pPr>
      <w:rPr>
        <w:rFonts w:cs="Times New Roman"/>
      </w:rPr>
    </w:lvl>
    <w:lvl w:ilvl="2" w:tplc="0410001B">
      <w:start w:val="1"/>
      <w:numFmt w:val="lowerRoman"/>
      <w:lvlText w:val="%3."/>
      <w:lvlJc w:val="right"/>
      <w:pPr>
        <w:tabs>
          <w:tab w:val="num" w:pos="2868"/>
        </w:tabs>
        <w:ind w:left="2868" w:hanging="180"/>
      </w:pPr>
      <w:rPr>
        <w:rFonts w:cs="Times New Roman"/>
      </w:rPr>
    </w:lvl>
    <w:lvl w:ilvl="3" w:tplc="0410000F">
      <w:start w:val="1"/>
      <w:numFmt w:val="decimal"/>
      <w:lvlText w:val="%4."/>
      <w:lvlJc w:val="left"/>
      <w:pPr>
        <w:tabs>
          <w:tab w:val="num" w:pos="3588"/>
        </w:tabs>
        <w:ind w:left="3588" w:hanging="360"/>
      </w:pPr>
      <w:rPr>
        <w:rFonts w:cs="Times New Roman"/>
      </w:rPr>
    </w:lvl>
    <w:lvl w:ilvl="4" w:tplc="04100019">
      <w:start w:val="1"/>
      <w:numFmt w:val="lowerLetter"/>
      <w:lvlText w:val="%5."/>
      <w:lvlJc w:val="left"/>
      <w:pPr>
        <w:tabs>
          <w:tab w:val="num" w:pos="4308"/>
        </w:tabs>
        <w:ind w:left="4308" w:hanging="360"/>
      </w:pPr>
      <w:rPr>
        <w:rFonts w:cs="Times New Roman"/>
      </w:rPr>
    </w:lvl>
    <w:lvl w:ilvl="5" w:tplc="0410001B">
      <w:start w:val="1"/>
      <w:numFmt w:val="lowerRoman"/>
      <w:lvlText w:val="%6."/>
      <w:lvlJc w:val="right"/>
      <w:pPr>
        <w:tabs>
          <w:tab w:val="num" w:pos="5028"/>
        </w:tabs>
        <w:ind w:left="5028" w:hanging="180"/>
      </w:pPr>
      <w:rPr>
        <w:rFonts w:cs="Times New Roman"/>
      </w:rPr>
    </w:lvl>
    <w:lvl w:ilvl="6" w:tplc="0410000F">
      <w:start w:val="1"/>
      <w:numFmt w:val="decimal"/>
      <w:lvlText w:val="%7."/>
      <w:lvlJc w:val="left"/>
      <w:pPr>
        <w:tabs>
          <w:tab w:val="num" w:pos="5748"/>
        </w:tabs>
        <w:ind w:left="5748" w:hanging="360"/>
      </w:pPr>
      <w:rPr>
        <w:rFonts w:cs="Times New Roman"/>
      </w:rPr>
    </w:lvl>
    <w:lvl w:ilvl="7" w:tplc="04100019">
      <w:start w:val="1"/>
      <w:numFmt w:val="lowerLetter"/>
      <w:lvlText w:val="%8."/>
      <w:lvlJc w:val="left"/>
      <w:pPr>
        <w:tabs>
          <w:tab w:val="num" w:pos="6468"/>
        </w:tabs>
        <w:ind w:left="6468" w:hanging="360"/>
      </w:pPr>
      <w:rPr>
        <w:rFonts w:cs="Times New Roman"/>
      </w:rPr>
    </w:lvl>
    <w:lvl w:ilvl="8" w:tplc="0410001B">
      <w:start w:val="1"/>
      <w:numFmt w:val="lowerRoman"/>
      <w:lvlText w:val="%9."/>
      <w:lvlJc w:val="right"/>
      <w:pPr>
        <w:tabs>
          <w:tab w:val="num" w:pos="7188"/>
        </w:tabs>
        <w:ind w:left="7188" w:hanging="180"/>
      </w:pPr>
      <w:rPr>
        <w:rFonts w:cs="Times New Roman"/>
      </w:rPr>
    </w:lvl>
  </w:abstractNum>
  <w:abstractNum w:abstractNumId="21">
    <w:nsid w:val="4F46673E"/>
    <w:multiLevelType w:val="hybridMultilevel"/>
    <w:tmpl w:val="A7529214"/>
    <w:lvl w:ilvl="0" w:tplc="5F6AE9FA">
      <w:numFmt w:val="bullet"/>
      <w:lvlText w:val="-"/>
      <w:lvlJc w:val="left"/>
      <w:pPr>
        <w:ind w:left="360" w:hanging="360"/>
      </w:pPr>
      <w:rPr>
        <w:rFonts w:ascii="Times New Roman" w:eastAsia="Times New Roman" w:hAnsi="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22">
    <w:nsid w:val="53326D0E"/>
    <w:multiLevelType w:val="hybridMultilevel"/>
    <w:tmpl w:val="1BDAE0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37A3D12"/>
    <w:multiLevelType w:val="hybridMultilevel"/>
    <w:tmpl w:val="220804A8"/>
    <w:lvl w:ilvl="0" w:tplc="2E3E733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4CE2B9B"/>
    <w:multiLevelType w:val="hybridMultilevel"/>
    <w:tmpl w:val="0F2EA1F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9E32DCB"/>
    <w:multiLevelType w:val="multilevel"/>
    <w:tmpl w:val="711832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C114DE9"/>
    <w:multiLevelType w:val="hybridMultilevel"/>
    <w:tmpl w:val="382653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0CE0933"/>
    <w:multiLevelType w:val="multilevel"/>
    <w:tmpl w:val="C5304D66"/>
    <w:lvl w:ilvl="0">
      <w:start w:val="1"/>
      <w:numFmt w:val="decimal"/>
      <w:lvlText w:val="%1."/>
      <w:lvlJc w:val="left"/>
      <w:pPr>
        <w:ind w:left="1080" w:hanging="360"/>
      </w:p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6BED416D"/>
    <w:multiLevelType w:val="hybridMultilevel"/>
    <w:tmpl w:val="7D22F844"/>
    <w:lvl w:ilvl="0" w:tplc="8D1607F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C9F6C48"/>
    <w:multiLevelType w:val="hybridMultilevel"/>
    <w:tmpl w:val="2FA63E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0DA2A8C"/>
    <w:multiLevelType w:val="hybridMultilevel"/>
    <w:tmpl w:val="7AE413E2"/>
    <w:lvl w:ilvl="0" w:tplc="1E30813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7AE1E84"/>
    <w:multiLevelType w:val="hybridMultilevel"/>
    <w:tmpl w:val="FBF6C1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CE81393"/>
    <w:multiLevelType w:val="hybridMultilevel"/>
    <w:tmpl w:val="6318EAA8"/>
    <w:lvl w:ilvl="0" w:tplc="04100001">
      <w:start w:val="1"/>
      <w:numFmt w:val="bullet"/>
      <w:lvlText w:val=""/>
      <w:lvlJc w:val="left"/>
      <w:pPr>
        <w:ind w:left="1280" w:hanging="360"/>
      </w:pPr>
      <w:rPr>
        <w:rFonts w:ascii="Symbol" w:hAnsi="Symbol" w:hint="default"/>
      </w:rPr>
    </w:lvl>
    <w:lvl w:ilvl="1" w:tplc="04100003" w:tentative="1">
      <w:start w:val="1"/>
      <w:numFmt w:val="bullet"/>
      <w:lvlText w:val="o"/>
      <w:lvlJc w:val="left"/>
      <w:pPr>
        <w:ind w:left="2000" w:hanging="360"/>
      </w:pPr>
      <w:rPr>
        <w:rFonts w:ascii="Courier New" w:hAnsi="Courier New" w:cs="Courier New" w:hint="default"/>
      </w:rPr>
    </w:lvl>
    <w:lvl w:ilvl="2" w:tplc="04100005" w:tentative="1">
      <w:start w:val="1"/>
      <w:numFmt w:val="bullet"/>
      <w:lvlText w:val=""/>
      <w:lvlJc w:val="left"/>
      <w:pPr>
        <w:ind w:left="2720" w:hanging="360"/>
      </w:pPr>
      <w:rPr>
        <w:rFonts w:ascii="Wingdings" w:hAnsi="Wingdings" w:hint="default"/>
      </w:rPr>
    </w:lvl>
    <w:lvl w:ilvl="3" w:tplc="04100001" w:tentative="1">
      <w:start w:val="1"/>
      <w:numFmt w:val="bullet"/>
      <w:lvlText w:val=""/>
      <w:lvlJc w:val="left"/>
      <w:pPr>
        <w:ind w:left="3440" w:hanging="360"/>
      </w:pPr>
      <w:rPr>
        <w:rFonts w:ascii="Symbol" w:hAnsi="Symbol" w:hint="default"/>
      </w:rPr>
    </w:lvl>
    <w:lvl w:ilvl="4" w:tplc="04100003" w:tentative="1">
      <w:start w:val="1"/>
      <w:numFmt w:val="bullet"/>
      <w:lvlText w:val="o"/>
      <w:lvlJc w:val="left"/>
      <w:pPr>
        <w:ind w:left="4160" w:hanging="360"/>
      </w:pPr>
      <w:rPr>
        <w:rFonts w:ascii="Courier New" w:hAnsi="Courier New" w:cs="Courier New" w:hint="default"/>
      </w:rPr>
    </w:lvl>
    <w:lvl w:ilvl="5" w:tplc="04100005" w:tentative="1">
      <w:start w:val="1"/>
      <w:numFmt w:val="bullet"/>
      <w:lvlText w:val=""/>
      <w:lvlJc w:val="left"/>
      <w:pPr>
        <w:ind w:left="4880" w:hanging="360"/>
      </w:pPr>
      <w:rPr>
        <w:rFonts w:ascii="Wingdings" w:hAnsi="Wingdings" w:hint="default"/>
      </w:rPr>
    </w:lvl>
    <w:lvl w:ilvl="6" w:tplc="04100001" w:tentative="1">
      <w:start w:val="1"/>
      <w:numFmt w:val="bullet"/>
      <w:lvlText w:val=""/>
      <w:lvlJc w:val="left"/>
      <w:pPr>
        <w:ind w:left="5600" w:hanging="360"/>
      </w:pPr>
      <w:rPr>
        <w:rFonts w:ascii="Symbol" w:hAnsi="Symbol" w:hint="default"/>
      </w:rPr>
    </w:lvl>
    <w:lvl w:ilvl="7" w:tplc="04100003" w:tentative="1">
      <w:start w:val="1"/>
      <w:numFmt w:val="bullet"/>
      <w:lvlText w:val="o"/>
      <w:lvlJc w:val="left"/>
      <w:pPr>
        <w:ind w:left="6320" w:hanging="360"/>
      </w:pPr>
      <w:rPr>
        <w:rFonts w:ascii="Courier New" w:hAnsi="Courier New" w:cs="Courier New" w:hint="default"/>
      </w:rPr>
    </w:lvl>
    <w:lvl w:ilvl="8" w:tplc="04100005" w:tentative="1">
      <w:start w:val="1"/>
      <w:numFmt w:val="bullet"/>
      <w:lvlText w:val=""/>
      <w:lvlJc w:val="left"/>
      <w:pPr>
        <w:ind w:left="7040" w:hanging="360"/>
      </w:pPr>
      <w:rPr>
        <w:rFonts w:ascii="Wingdings" w:hAnsi="Wingdings" w:hint="default"/>
      </w:rPr>
    </w:lvl>
  </w:abstractNum>
  <w:num w:numId="1">
    <w:abstractNumId w:val="3"/>
  </w:num>
  <w:num w:numId="2">
    <w:abstractNumId w:val="20"/>
  </w:num>
  <w:num w:numId="3">
    <w:abstractNumId w:val="23"/>
  </w:num>
  <w:num w:numId="4">
    <w:abstractNumId w:val="4"/>
  </w:num>
  <w:num w:numId="5">
    <w:abstractNumId w:val="5"/>
  </w:num>
  <w:num w:numId="6">
    <w:abstractNumId w:val="0"/>
  </w:num>
  <w:num w:numId="7">
    <w:abstractNumId w:val="16"/>
  </w:num>
  <w:num w:numId="8">
    <w:abstractNumId w:val="13"/>
  </w:num>
  <w:num w:numId="9">
    <w:abstractNumId w:val="14"/>
  </w:num>
  <w:num w:numId="10">
    <w:abstractNumId w:val="19"/>
  </w:num>
  <w:num w:numId="11">
    <w:abstractNumId w:val="6"/>
  </w:num>
  <w:num w:numId="12">
    <w:abstractNumId w:val="1"/>
  </w:num>
  <w:num w:numId="13">
    <w:abstractNumId w:val="9"/>
  </w:num>
  <w:num w:numId="14">
    <w:abstractNumId w:val="31"/>
  </w:num>
  <w:num w:numId="15">
    <w:abstractNumId w:val="24"/>
  </w:num>
  <w:num w:numId="16">
    <w:abstractNumId w:val="8"/>
  </w:num>
  <w:num w:numId="17">
    <w:abstractNumId w:val="10"/>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7"/>
  </w:num>
  <w:num w:numId="21">
    <w:abstractNumId w:val="12"/>
  </w:num>
  <w:num w:numId="22">
    <w:abstractNumId w:val="2"/>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7"/>
  </w:num>
  <w:num w:numId="26">
    <w:abstractNumId w:val="26"/>
  </w:num>
  <w:num w:numId="27">
    <w:abstractNumId w:val="25"/>
  </w:num>
  <w:num w:numId="28">
    <w:abstractNumId w:val="15"/>
  </w:num>
  <w:num w:numId="29">
    <w:abstractNumId w:val="11"/>
  </w:num>
  <w:num w:numId="30">
    <w:abstractNumId w:val="28"/>
  </w:num>
  <w:num w:numId="3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9"/>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hdrShapeDefaults>
    <o:shapedefaults v:ext="edit" spidmax="12299"/>
    <o:shapelayout v:ext="edit">
      <o:idmap v:ext="edit" data="12"/>
    </o:shapelayout>
  </w:hdrShapeDefaults>
  <w:footnotePr>
    <w:footnote w:id="-1"/>
    <w:footnote w:id="0"/>
  </w:footnotePr>
  <w:endnotePr>
    <w:endnote w:id="-1"/>
    <w:endnote w:id="0"/>
  </w:endnotePr>
  <w:compat/>
  <w:rsids>
    <w:rsidRoot w:val="0091343C"/>
    <w:rsid w:val="0001405B"/>
    <w:rsid w:val="0001501B"/>
    <w:rsid w:val="00015C8B"/>
    <w:rsid w:val="00024E12"/>
    <w:rsid w:val="00034613"/>
    <w:rsid w:val="000472B0"/>
    <w:rsid w:val="00051DB7"/>
    <w:rsid w:val="000562D0"/>
    <w:rsid w:val="000578B2"/>
    <w:rsid w:val="00062BAB"/>
    <w:rsid w:val="000634A1"/>
    <w:rsid w:val="00066759"/>
    <w:rsid w:val="00066F35"/>
    <w:rsid w:val="00074BC7"/>
    <w:rsid w:val="00077E09"/>
    <w:rsid w:val="00090374"/>
    <w:rsid w:val="00091096"/>
    <w:rsid w:val="000937BE"/>
    <w:rsid w:val="000A3F19"/>
    <w:rsid w:val="000A74F6"/>
    <w:rsid w:val="000A771C"/>
    <w:rsid w:val="000B1AC5"/>
    <w:rsid w:val="000C28E3"/>
    <w:rsid w:val="000C3A3A"/>
    <w:rsid w:val="000D020E"/>
    <w:rsid w:val="000D30D1"/>
    <w:rsid w:val="000D49B8"/>
    <w:rsid w:val="000E49A3"/>
    <w:rsid w:val="000E7920"/>
    <w:rsid w:val="000F3A97"/>
    <w:rsid w:val="000F4C03"/>
    <w:rsid w:val="000F61FF"/>
    <w:rsid w:val="00120A0B"/>
    <w:rsid w:val="00122F2C"/>
    <w:rsid w:val="00124825"/>
    <w:rsid w:val="00125342"/>
    <w:rsid w:val="001268CD"/>
    <w:rsid w:val="00130D63"/>
    <w:rsid w:val="00137948"/>
    <w:rsid w:val="00141A36"/>
    <w:rsid w:val="00141D8F"/>
    <w:rsid w:val="00147B51"/>
    <w:rsid w:val="0015424A"/>
    <w:rsid w:val="00155525"/>
    <w:rsid w:val="001604DD"/>
    <w:rsid w:val="00172176"/>
    <w:rsid w:val="001772F1"/>
    <w:rsid w:val="001823E4"/>
    <w:rsid w:val="00182EF8"/>
    <w:rsid w:val="00183539"/>
    <w:rsid w:val="001873BE"/>
    <w:rsid w:val="001923D6"/>
    <w:rsid w:val="001A4517"/>
    <w:rsid w:val="001A7087"/>
    <w:rsid w:val="001B0622"/>
    <w:rsid w:val="001B0D30"/>
    <w:rsid w:val="001B377E"/>
    <w:rsid w:val="001B5536"/>
    <w:rsid w:val="001C77C8"/>
    <w:rsid w:val="001D4793"/>
    <w:rsid w:val="001E1C5C"/>
    <w:rsid w:val="001E60A6"/>
    <w:rsid w:val="001F5005"/>
    <w:rsid w:val="00203B24"/>
    <w:rsid w:val="00204859"/>
    <w:rsid w:val="00205C6F"/>
    <w:rsid w:val="0021674F"/>
    <w:rsid w:val="00216DD6"/>
    <w:rsid w:val="0022299C"/>
    <w:rsid w:val="002230CD"/>
    <w:rsid w:val="002231D5"/>
    <w:rsid w:val="0022431E"/>
    <w:rsid w:val="00230840"/>
    <w:rsid w:val="002338BC"/>
    <w:rsid w:val="00236706"/>
    <w:rsid w:val="002507DD"/>
    <w:rsid w:val="002535E9"/>
    <w:rsid w:val="00254728"/>
    <w:rsid w:val="002601F1"/>
    <w:rsid w:val="002638B8"/>
    <w:rsid w:val="002703D2"/>
    <w:rsid w:val="002837C2"/>
    <w:rsid w:val="00291A7E"/>
    <w:rsid w:val="00292CEB"/>
    <w:rsid w:val="00295625"/>
    <w:rsid w:val="002A1F04"/>
    <w:rsid w:val="002A3CB0"/>
    <w:rsid w:val="002B12CE"/>
    <w:rsid w:val="002B1544"/>
    <w:rsid w:val="002C32A0"/>
    <w:rsid w:val="002C3931"/>
    <w:rsid w:val="002C662B"/>
    <w:rsid w:val="002C7C26"/>
    <w:rsid w:val="002D0580"/>
    <w:rsid w:val="002F31DB"/>
    <w:rsid w:val="002F6C2B"/>
    <w:rsid w:val="002F78A1"/>
    <w:rsid w:val="0030123A"/>
    <w:rsid w:val="00306B5F"/>
    <w:rsid w:val="003128E1"/>
    <w:rsid w:val="00316D74"/>
    <w:rsid w:val="003330DB"/>
    <w:rsid w:val="003366EF"/>
    <w:rsid w:val="00342778"/>
    <w:rsid w:val="00353204"/>
    <w:rsid w:val="003614D9"/>
    <w:rsid w:val="003634D0"/>
    <w:rsid w:val="0036369C"/>
    <w:rsid w:val="0036415B"/>
    <w:rsid w:val="00364CAB"/>
    <w:rsid w:val="0037069B"/>
    <w:rsid w:val="00372D4C"/>
    <w:rsid w:val="00375592"/>
    <w:rsid w:val="00376705"/>
    <w:rsid w:val="003809FD"/>
    <w:rsid w:val="00383B5C"/>
    <w:rsid w:val="00390671"/>
    <w:rsid w:val="0039145B"/>
    <w:rsid w:val="0039352F"/>
    <w:rsid w:val="00396658"/>
    <w:rsid w:val="003A17E1"/>
    <w:rsid w:val="003A2AB7"/>
    <w:rsid w:val="003B07A7"/>
    <w:rsid w:val="003B46FF"/>
    <w:rsid w:val="003B4F61"/>
    <w:rsid w:val="003E3D57"/>
    <w:rsid w:val="003F0127"/>
    <w:rsid w:val="003F4E0C"/>
    <w:rsid w:val="00400A1E"/>
    <w:rsid w:val="004017CA"/>
    <w:rsid w:val="00405BF3"/>
    <w:rsid w:val="00412CD2"/>
    <w:rsid w:val="004153F6"/>
    <w:rsid w:val="00422258"/>
    <w:rsid w:val="004259B0"/>
    <w:rsid w:val="00425FF2"/>
    <w:rsid w:val="00431E54"/>
    <w:rsid w:val="00432E1E"/>
    <w:rsid w:val="00433EB3"/>
    <w:rsid w:val="0044636E"/>
    <w:rsid w:val="0044651D"/>
    <w:rsid w:val="004467AE"/>
    <w:rsid w:val="004470CB"/>
    <w:rsid w:val="00447FDE"/>
    <w:rsid w:val="00457189"/>
    <w:rsid w:val="00466D09"/>
    <w:rsid w:val="00466DBF"/>
    <w:rsid w:val="004731B5"/>
    <w:rsid w:val="00483403"/>
    <w:rsid w:val="00485119"/>
    <w:rsid w:val="00487AE6"/>
    <w:rsid w:val="00492AD9"/>
    <w:rsid w:val="00495AAE"/>
    <w:rsid w:val="004A0FC2"/>
    <w:rsid w:val="004A1B0D"/>
    <w:rsid w:val="004A1CED"/>
    <w:rsid w:val="004A2F83"/>
    <w:rsid w:val="004A372D"/>
    <w:rsid w:val="004A63EC"/>
    <w:rsid w:val="004B0282"/>
    <w:rsid w:val="004B0806"/>
    <w:rsid w:val="004B3921"/>
    <w:rsid w:val="004C3FAA"/>
    <w:rsid w:val="004C4770"/>
    <w:rsid w:val="004D667E"/>
    <w:rsid w:val="004E4868"/>
    <w:rsid w:val="004E5B03"/>
    <w:rsid w:val="004F1414"/>
    <w:rsid w:val="005029FF"/>
    <w:rsid w:val="0050623C"/>
    <w:rsid w:val="00506BFF"/>
    <w:rsid w:val="00511302"/>
    <w:rsid w:val="005201D6"/>
    <w:rsid w:val="005216CA"/>
    <w:rsid w:val="00522F8C"/>
    <w:rsid w:val="005300D2"/>
    <w:rsid w:val="005325AC"/>
    <w:rsid w:val="00535A20"/>
    <w:rsid w:val="005402AE"/>
    <w:rsid w:val="005446E8"/>
    <w:rsid w:val="0054557A"/>
    <w:rsid w:val="00545B6D"/>
    <w:rsid w:val="0054684F"/>
    <w:rsid w:val="00551185"/>
    <w:rsid w:val="00564318"/>
    <w:rsid w:val="005703CB"/>
    <w:rsid w:val="0057340E"/>
    <w:rsid w:val="0057755E"/>
    <w:rsid w:val="00580882"/>
    <w:rsid w:val="005823B7"/>
    <w:rsid w:val="00592938"/>
    <w:rsid w:val="005A06BB"/>
    <w:rsid w:val="005A69DD"/>
    <w:rsid w:val="005C0A33"/>
    <w:rsid w:val="005C3631"/>
    <w:rsid w:val="005C5CCC"/>
    <w:rsid w:val="005C642E"/>
    <w:rsid w:val="005D31DB"/>
    <w:rsid w:val="005E462A"/>
    <w:rsid w:val="005E70D3"/>
    <w:rsid w:val="005F05C2"/>
    <w:rsid w:val="005F0917"/>
    <w:rsid w:val="005F4D47"/>
    <w:rsid w:val="005F7638"/>
    <w:rsid w:val="006123B5"/>
    <w:rsid w:val="0062493F"/>
    <w:rsid w:val="00625D4D"/>
    <w:rsid w:val="00627C7B"/>
    <w:rsid w:val="00630519"/>
    <w:rsid w:val="00641C70"/>
    <w:rsid w:val="00643DC6"/>
    <w:rsid w:val="006470E5"/>
    <w:rsid w:val="00651BCE"/>
    <w:rsid w:val="00661E3D"/>
    <w:rsid w:val="00666B02"/>
    <w:rsid w:val="006701E1"/>
    <w:rsid w:val="0067346C"/>
    <w:rsid w:val="00681C49"/>
    <w:rsid w:val="00682290"/>
    <w:rsid w:val="00693488"/>
    <w:rsid w:val="00695F99"/>
    <w:rsid w:val="006A2930"/>
    <w:rsid w:val="006A4528"/>
    <w:rsid w:val="006B0682"/>
    <w:rsid w:val="006B2611"/>
    <w:rsid w:val="006B2A90"/>
    <w:rsid w:val="006B539C"/>
    <w:rsid w:val="006C02D1"/>
    <w:rsid w:val="006C1942"/>
    <w:rsid w:val="006C4482"/>
    <w:rsid w:val="006C5A3F"/>
    <w:rsid w:val="006C69CB"/>
    <w:rsid w:val="006C789A"/>
    <w:rsid w:val="006D3D68"/>
    <w:rsid w:val="006E4C3D"/>
    <w:rsid w:val="006E5985"/>
    <w:rsid w:val="006E7E18"/>
    <w:rsid w:val="006F5131"/>
    <w:rsid w:val="00701640"/>
    <w:rsid w:val="00713D3E"/>
    <w:rsid w:val="007267FA"/>
    <w:rsid w:val="00731060"/>
    <w:rsid w:val="0073185A"/>
    <w:rsid w:val="007335D8"/>
    <w:rsid w:val="00744632"/>
    <w:rsid w:val="00745BAD"/>
    <w:rsid w:val="00752108"/>
    <w:rsid w:val="007528CD"/>
    <w:rsid w:val="00754DA6"/>
    <w:rsid w:val="00760498"/>
    <w:rsid w:val="00764714"/>
    <w:rsid w:val="007670F0"/>
    <w:rsid w:val="0077208B"/>
    <w:rsid w:val="00773594"/>
    <w:rsid w:val="00774D7B"/>
    <w:rsid w:val="00781700"/>
    <w:rsid w:val="0078215A"/>
    <w:rsid w:val="007A0D39"/>
    <w:rsid w:val="007B7147"/>
    <w:rsid w:val="007B7AF5"/>
    <w:rsid w:val="007C31A8"/>
    <w:rsid w:val="007C3476"/>
    <w:rsid w:val="007D009A"/>
    <w:rsid w:val="007D5A64"/>
    <w:rsid w:val="007E4494"/>
    <w:rsid w:val="007F5B0E"/>
    <w:rsid w:val="007F6134"/>
    <w:rsid w:val="00801FD4"/>
    <w:rsid w:val="00805CAD"/>
    <w:rsid w:val="0081153B"/>
    <w:rsid w:val="008122D5"/>
    <w:rsid w:val="00814D55"/>
    <w:rsid w:val="00814F55"/>
    <w:rsid w:val="0082088A"/>
    <w:rsid w:val="008249A1"/>
    <w:rsid w:val="00825847"/>
    <w:rsid w:val="008314DD"/>
    <w:rsid w:val="00834B71"/>
    <w:rsid w:val="00842830"/>
    <w:rsid w:val="00844122"/>
    <w:rsid w:val="00850509"/>
    <w:rsid w:val="00850B0B"/>
    <w:rsid w:val="00860F7D"/>
    <w:rsid w:val="0087167F"/>
    <w:rsid w:val="00877993"/>
    <w:rsid w:val="0088035D"/>
    <w:rsid w:val="00883BC7"/>
    <w:rsid w:val="00885180"/>
    <w:rsid w:val="00885F86"/>
    <w:rsid w:val="00887C43"/>
    <w:rsid w:val="00890F1E"/>
    <w:rsid w:val="0089318B"/>
    <w:rsid w:val="008A29F1"/>
    <w:rsid w:val="008A3560"/>
    <w:rsid w:val="008A4A24"/>
    <w:rsid w:val="008B0EDA"/>
    <w:rsid w:val="008B46BD"/>
    <w:rsid w:val="008B736C"/>
    <w:rsid w:val="008C6AF5"/>
    <w:rsid w:val="008C6F0B"/>
    <w:rsid w:val="008D23C9"/>
    <w:rsid w:val="008E082D"/>
    <w:rsid w:val="008E6399"/>
    <w:rsid w:val="008F01ED"/>
    <w:rsid w:val="008F5D53"/>
    <w:rsid w:val="00901685"/>
    <w:rsid w:val="009030D0"/>
    <w:rsid w:val="009131A5"/>
    <w:rsid w:val="0091343C"/>
    <w:rsid w:val="009212DF"/>
    <w:rsid w:val="00922F41"/>
    <w:rsid w:val="009265D9"/>
    <w:rsid w:val="00927899"/>
    <w:rsid w:val="00933FFD"/>
    <w:rsid w:val="00936A4A"/>
    <w:rsid w:val="00937659"/>
    <w:rsid w:val="0094687A"/>
    <w:rsid w:val="00954248"/>
    <w:rsid w:val="00960218"/>
    <w:rsid w:val="009637FE"/>
    <w:rsid w:val="009642A9"/>
    <w:rsid w:val="009652EC"/>
    <w:rsid w:val="00981F50"/>
    <w:rsid w:val="00982224"/>
    <w:rsid w:val="00992E66"/>
    <w:rsid w:val="009951C8"/>
    <w:rsid w:val="009A4D6F"/>
    <w:rsid w:val="009B0A2B"/>
    <w:rsid w:val="009B12D6"/>
    <w:rsid w:val="009B17FA"/>
    <w:rsid w:val="009B692A"/>
    <w:rsid w:val="009C08F3"/>
    <w:rsid w:val="009C3B0F"/>
    <w:rsid w:val="009D0FEC"/>
    <w:rsid w:val="009D317A"/>
    <w:rsid w:val="009D494A"/>
    <w:rsid w:val="009D4A8D"/>
    <w:rsid w:val="009E2510"/>
    <w:rsid w:val="009E4E8E"/>
    <w:rsid w:val="009F5C24"/>
    <w:rsid w:val="00A01A8E"/>
    <w:rsid w:val="00A030D2"/>
    <w:rsid w:val="00A10ED8"/>
    <w:rsid w:val="00A13555"/>
    <w:rsid w:val="00A143DB"/>
    <w:rsid w:val="00A17C25"/>
    <w:rsid w:val="00A20AEC"/>
    <w:rsid w:val="00A26551"/>
    <w:rsid w:val="00A300ED"/>
    <w:rsid w:val="00A3222D"/>
    <w:rsid w:val="00A34A2D"/>
    <w:rsid w:val="00A41918"/>
    <w:rsid w:val="00A50299"/>
    <w:rsid w:val="00A535A3"/>
    <w:rsid w:val="00A53CE1"/>
    <w:rsid w:val="00A70425"/>
    <w:rsid w:val="00A769CD"/>
    <w:rsid w:val="00A81BB4"/>
    <w:rsid w:val="00A83CF9"/>
    <w:rsid w:val="00A9622A"/>
    <w:rsid w:val="00A976B5"/>
    <w:rsid w:val="00AA3C97"/>
    <w:rsid w:val="00AB008F"/>
    <w:rsid w:val="00AB13AC"/>
    <w:rsid w:val="00AC022D"/>
    <w:rsid w:val="00AC283C"/>
    <w:rsid w:val="00AC6A8B"/>
    <w:rsid w:val="00AD0C04"/>
    <w:rsid w:val="00AD6DD2"/>
    <w:rsid w:val="00AE29E7"/>
    <w:rsid w:val="00AE3750"/>
    <w:rsid w:val="00AE536C"/>
    <w:rsid w:val="00AF0325"/>
    <w:rsid w:val="00AF0B48"/>
    <w:rsid w:val="00B07236"/>
    <w:rsid w:val="00B12FBA"/>
    <w:rsid w:val="00B204F4"/>
    <w:rsid w:val="00B2118A"/>
    <w:rsid w:val="00B26055"/>
    <w:rsid w:val="00B30008"/>
    <w:rsid w:val="00B31A54"/>
    <w:rsid w:val="00B32640"/>
    <w:rsid w:val="00B33EB9"/>
    <w:rsid w:val="00B357BB"/>
    <w:rsid w:val="00B36AE7"/>
    <w:rsid w:val="00B41413"/>
    <w:rsid w:val="00B517D4"/>
    <w:rsid w:val="00B62C65"/>
    <w:rsid w:val="00B72182"/>
    <w:rsid w:val="00B72BA9"/>
    <w:rsid w:val="00B76E08"/>
    <w:rsid w:val="00B81973"/>
    <w:rsid w:val="00B81DBA"/>
    <w:rsid w:val="00B92D89"/>
    <w:rsid w:val="00B95453"/>
    <w:rsid w:val="00B971F4"/>
    <w:rsid w:val="00B97AAF"/>
    <w:rsid w:val="00BA2F7C"/>
    <w:rsid w:val="00BA35B7"/>
    <w:rsid w:val="00BB1F20"/>
    <w:rsid w:val="00BC1688"/>
    <w:rsid w:val="00BC23CF"/>
    <w:rsid w:val="00BD0462"/>
    <w:rsid w:val="00BD464A"/>
    <w:rsid w:val="00BD7753"/>
    <w:rsid w:val="00BD7B7F"/>
    <w:rsid w:val="00BE3104"/>
    <w:rsid w:val="00BF0130"/>
    <w:rsid w:val="00C01E8E"/>
    <w:rsid w:val="00C07A3A"/>
    <w:rsid w:val="00C12A56"/>
    <w:rsid w:val="00C13BDA"/>
    <w:rsid w:val="00C14FE3"/>
    <w:rsid w:val="00C214E3"/>
    <w:rsid w:val="00C277D8"/>
    <w:rsid w:val="00C314E4"/>
    <w:rsid w:val="00C323FE"/>
    <w:rsid w:val="00C34191"/>
    <w:rsid w:val="00C343C7"/>
    <w:rsid w:val="00C356CB"/>
    <w:rsid w:val="00C45113"/>
    <w:rsid w:val="00C46845"/>
    <w:rsid w:val="00C46C96"/>
    <w:rsid w:val="00C73652"/>
    <w:rsid w:val="00C752AE"/>
    <w:rsid w:val="00C76B0D"/>
    <w:rsid w:val="00C80E0F"/>
    <w:rsid w:val="00C83251"/>
    <w:rsid w:val="00C86107"/>
    <w:rsid w:val="00CA12A3"/>
    <w:rsid w:val="00CA365E"/>
    <w:rsid w:val="00CB272E"/>
    <w:rsid w:val="00CC18E3"/>
    <w:rsid w:val="00CC6420"/>
    <w:rsid w:val="00CD435F"/>
    <w:rsid w:val="00CD4DA9"/>
    <w:rsid w:val="00CD4FC8"/>
    <w:rsid w:val="00CD75DE"/>
    <w:rsid w:val="00CE58E9"/>
    <w:rsid w:val="00CF59D7"/>
    <w:rsid w:val="00D02F0A"/>
    <w:rsid w:val="00D05E5D"/>
    <w:rsid w:val="00D07F52"/>
    <w:rsid w:val="00D14B54"/>
    <w:rsid w:val="00D2173B"/>
    <w:rsid w:val="00D218CE"/>
    <w:rsid w:val="00D22F8F"/>
    <w:rsid w:val="00D235CE"/>
    <w:rsid w:val="00D24F22"/>
    <w:rsid w:val="00D404C0"/>
    <w:rsid w:val="00D4314D"/>
    <w:rsid w:val="00D510B5"/>
    <w:rsid w:val="00D646CB"/>
    <w:rsid w:val="00D70094"/>
    <w:rsid w:val="00D7702F"/>
    <w:rsid w:val="00D82C78"/>
    <w:rsid w:val="00D9662C"/>
    <w:rsid w:val="00DA3483"/>
    <w:rsid w:val="00DA5744"/>
    <w:rsid w:val="00DA728C"/>
    <w:rsid w:val="00DB325D"/>
    <w:rsid w:val="00DB5A99"/>
    <w:rsid w:val="00DB66B1"/>
    <w:rsid w:val="00DC6580"/>
    <w:rsid w:val="00DD1D4B"/>
    <w:rsid w:val="00DD47FB"/>
    <w:rsid w:val="00DE2929"/>
    <w:rsid w:val="00DF0D28"/>
    <w:rsid w:val="00E03C35"/>
    <w:rsid w:val="00E03E2A"/>
    <w:rsid w:val="00E11D87"/>
    <w:rsid w:val="00E15FD1"/>
    <w:rsid w:val="00E20BAF"/>
    <w:rsid w:val="00E2135E"/>
    <w:rsid w:val="00E2170F"/>
    <w:rsid w:val="00E2217D"/>
    <w:rsid w:val="00E25EEC"/>
    <w:rsid w:val="00E273E0"/>
    <w:rsid w:val="00E30E1E"/>
    <w:rsid w:val="00E336E8"/>
    <w:rsid w:val="00E33C4B"/>
    <w:rsid w:val="00E35A12"/>
    <w:rsid w:val="00E4150F"/>
    <w:rsid w:val="00E46B69"/>
    <w:rsid w:val="00E46CE6"/>
    <w:rsid w:val="00E53EA6"/>
    <w:rsid w:val="00E6425B"/>
    <w:rsid w:val="00E705EE"/>
    <w:rsid w:val="00E80D43"/>
    <w:rsid w:val="00E846F4"/>
    <w:rsid w:val="00E85CDD"/>
    <w:rsid w:val="00E95BCF"/>
    <w:rsid w:val="00E976F7"/>
    <w:rsid w:val="00EA178A"/>
    <w:rsid w:val="00EA1A8E"/>
    <w:rsid w:val="00EA5407"/>
    <w:rsid w:val="00EA54CE"/>
    <w:rsid w:val="00EB56EC"/>
    <w:rsid w:val="00EC3C1A"/>
    <w:rsid w:val="00ED363C"/>
    <w:rsid w:val="00ED5D55"/>
    <w:rsid w:val="00ED6310"/>
    <w:rsid w:val="00EE5D28"/>
    <w:rsid w:val="00EE7022"/>
    <w:rsid w:val="00EF0BC2"/>
    <w:rsid w:val="00F027E6"/>
    <w:rsid w:val="00F04B66"/>
    <w:rsid w:val="00F233DA"/>
    <w:rsid w:val="00F25444"/>
    <w:rsid w:val="00F301A4"/>
    <w:rsid w:val="00F34174"/>
    <w:rsid w:val="00F34829"/>
    <w:rsid w:val="00F413F1"/>
    <w:rsid w:val="00F42C09"/>
    <w:rsid w:val="00F44E1A"/>
    <w:rsid w:val="00F45015"/>
    <w:rsid w:val="00F47B33"/>
    <w:rsid w:val="00F47F11"/>
    <w:rsid w:val="00F51BA3"/>
    <w:rsid w:val="00F53E2F"/>
    <w:rsid w:val="00F54505"/>
    <w:rsid w:val="00F65DEA"/>
    <w:rsid w:val="00F675A6"/>
    <w:rsid w:val="00F70C89"/>
    <w:rsid w:val="00F71699"/>
    <w:rsid w:val="00F74101"/>
    <w:rsid w:val="00F7673D"/>
    <w:rsid w:val="00F9436F"/>
    <w:rsid w:val="00F96EA2"/>
    <w:rsid w:val="00FA3511"/>
    <w:rsid w:val="00FA70FC"/>
    <w:rsid w:val="00FB5092"/>
    <w:rsid w:val="00FB5101"/>
    <w:rsid w:val="00FC2543"/>
    <w:rsid w:val="00FE0763"/>
    <w:rsid w:val="00FE6C36"/>
    <w:rsid w:val="00FF3852"/>
    <w:rsid w:val="00FF75A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539C"/>
  </w:style>
  <w:style w:type="paragraph" w:styleId="Titolo1">
    <w:name w:val="heading 1"/>
    <w:basedOn w:val="Normale"/>
    <w:next w:val="Normale"/>
    <w:link w:val="Titolo1Carattere"/>
    <w:uiPriority w:val="9"/>
    <w:qFormat/>
    <w:rsid w:val="00A143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5C0A33"/>
    <w:pPr>
      <w:keepNext/>
      <w:spacing w:before="240" w:after="60" w:line="240" w:lineRule="auto"/>
      <w:outlineLvl w:val="1"/>
    </w:pPr>
    <w:rPr>
      <w:rFonts w:ascii="Arial" w:eastAsia="Times New Roman" w:hAnsi="Arial" w:cs="Arial"/>
      <w:b/>
      <w:bCs/>
      <w:i/>
      <w:iCs/>
      <w:sz w:val="28"/>
      <w:szCs w:val="28"/>
      <w:lang w:eastAsia="it-IT"/>
    </w:rPr>
  </w:style>
  <w:style w:type="paragraph" w:styleId="Titolo3">
    <w:name w:val="heading 3"/>
    <w:basedOn w:val="Normale"/>
    <w:next w:val="Normale"/>
    <w:link w:val="Titolo3Carattere"/>
    <w:qFormat/>
    <w:rsid w:val="005C0A33"/>
    <w:pPr>
      <w:keepNext/>
      <w:spacing w:before="240" w:after="60" w:line="240" w:lineRule="auto"/>
      <w:outlineLvl w:val="2"/>
    </w:pPr>
    <w:rPr>
      <w:rFonts w:ascii="Arial" w:eastAsia="Times New Roman" w:hAnsi="Arial" w:cs="Arial"/>
      <w:b/>
      <w:b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143DB"/>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rsid w:val="005C0A33"/>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rsid w:val="005C0A33"/>
    <w:rPr>
      <w:rFonts w:ascii="Arial" w:eastAsia="Times New Roman" w:hAnsi="Arial" w:cs="Arial"/>
      <w:b/>
      <w:bCs/>
      <w:sz w:val="26"/>
      <w:szCs w:val="26"/>
      <w:lang w:eastAsia="it-IT"/>
    </w:rPr>
  </w:style>
  <w:style w:type="paragraph" w:customStyle="1" w:styleId="Default">
    <w:name w:val="Default"/>
    <w:rsid w:val="00A01A8E"/>
    <w:pPr>
      <w:autoSpaceDE w:val="0"/>
      <w:autoSpaceDN w:val="0"/>
      <w:adjustRightInd w:val="0"/>
      <w:spacing w:after="0" w:line="240" w:lineRule="auto"/>
    </w:pPr>
    <w:rPr>
      <w:rFonts w:ascii="DecimaWE" w:hAnsi="DecimaWE" w:cs="DecimaWE"/>
      <w:color w:val="000000"/>
      <w:sz w:val="24"/>
      <w:szCs w:val="24"/>
    </w:rPr>
  </w:style>
  <w:style w:type="paragraph" w:styleId="Testofumetto">
    <w:name w:val="Balloon Text"/>
    <w:basedOn w:val="Normale"/>
    <w:link w:val="TestofumettoCarattere"/>
    <w:uiPriority w:val="99"/>
    <w:semiHidden/>
    <w:unhideWhenUsed/>
    <w:rsid w:val="005E462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462A"/>
    <w:rPr>
      <w:rFonts w:ascii="Tahoma" w:hAnsi="Tahoma" w:cs="Tahoma"/>
      <w:sz w:val="16"/>
      <w:szCs w:val="16"/>
    </w:rPr>
  </w:style>
  <w:style w:type="paragraph" w:styleId="Paragrafoelenco">
    <w:name w:val="List Paragraph"/>
    <w:basedOn w:val="Normale"/>
    <w:link w:val="ParagrafoelencoCarattere"/>
    <w:uiPriority w:val="34"/>
    <w:qFormat/>
    <w:rsid w:val="007670F0"/>
    <w:pPr>
      <w:ind w:left="720"/>
      <w:contextualSpacing/>
    </w:pPr>
  </w:style>
  <w:style w:type="character" w:customStyle="1" w:styleId="ParagrafoelencoCarattere">
    <w:name w:val="Paragrafo elenco Carattere"/>
    <w:link w:val="Paragrafoelenco"/>
    <w:uiPriority w:val="99"/>
    <w:locked/>
    <w:rsid w:val="00A143DB"/>
  </w:style>
  <w:style w:type="table" w:styleId="Grigliatabella">
    <w:name w:val="Table Grid"/>
    <w:basedOn w:val="Tabellanormale"/>
    <w:rsid w:val="005446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ientrocorpodeltesto">
    <w:name w:val="Body Text Indent"/>
    <w:basedOn w:val="Normale"/>
    <w:link w:val="RientrocorpodeltestoCarattere"/>
    <w:rsid w:val="00954248"/>
    <w:pPr>
      <w:spacing w:after="0" w:line="240" w:lineRule="auto"/>
      <w:ind w:left="708"/>
      <w:jc w:val="both"/>
    </w:pPr>
    <w:rPr>
      <w:rFonts w:ascii="Times New Roman" w:eastAsia="Times New Roman" w:hAnsi="Times New Roman" w:cs="Times New Roman"/>
      <w:sz w:val="24"/>
      <w:szCs w:val="20"/>
      <w:lang w:eastAsia="it-IT"/>
    </w:rPr>
  </w:style>
  <w:style w:type="character" w:customStyle="1" w:styleId="RientrocorpodeltestoCarattere">
    <w:name w:val="Rientro corpo del testo Carattere"/>
    <w:basedOn w:val="Carpredefinitoparagrafo"/>
    <w:link w:val="Rientrocorpodeltesto"/>
    <w:rsid w:val="00954248"/>
    <w:rPr>
      <w:rFonts w:ascii="Times New Roman" w:eastAsia="Times New Roman" w:hAnsi="Times New Roman" w:cs="Times New Roman"/>
      <w:sz w:val="24"/>
      <w:szCs w:val="20"/>
      <w:lang w:eastAsia="it-IT"/>
    </w:rPr>
  </w:style>
  <w:style w:type="paragraph" w:styleId="NormaleWeb">
    <w:name w:val="Normal (Web)"/>
    <w:basedOn w:val="Normale"/>
    <w:uiPriority w:val="99"/>
    <w:unhideWhenUsed/>
    <w:rsid w:val="006C789A"/>
    <w:pPr>
      <w:spacing w:before="100" w:beforeAutospacing="1" w:after="100" w:afterAutospacing="1" w:line="240" w:lineRule="auto"/>
    </w:pPr>
    <w:rPr>
      <w:rFonts w:ascii="Times New Roman" w:hAnsi="Times New Roman" w:cs="Times New Roman"/>
      <w:sz w:val="24"/>
      <w:szCs w:val="24"/>
      <w:lang w:eastAsia="it-IT"/>
    </w:rPr>
  </w:style>
  <w:style w:type="paragraph" w:customStyle="1" w:styleId="DecimalAligned">
    <w:name w:val="Decimal Aligned"/>
    <w:basedOn w:val="Normale"/>
    <w:uiPriority w:val="40"/>
    <w:qFormat/>
    <w:rsid w:val="003809FD"/>
    <w:pPr>
      <w:tabs>
        <w:tab w:val="decimal" w:pos="360"/>
      </w:tabs>
    </w:pPr>
    <w:rPr>
      <w:rFonts w:eastAsiaTheme="minorEastAsia"/>
    </w:rPr>
  </w:style>
  <w:style w:type="paragraph" w:styleId="Testonotaapidipagina">
    <w:name w:val="footnote text"/>
    <w:basedOn w:val="Normale"/>
    <w:link w:val="TestonotaapidipaginaCarattere"/>
    <w:uiPriority w:val="99"/>
    <w:unhideWhenUsed/>
    <w:rsid w:val="003809FD"/>
    <w:pPr>
      <w:spacing w:after="0" w:line="240" w:lineRule="auto"/>
    </w:pPr>
    <w:rPr>
      <w:rFonts w:eastAsiaTheme="minorEastAsia"/>
      <w:sz w:val="20"/>
      <w:szCs w:val="20"/>
    </w:rPr>
  </w:style>
  <w:style w:type="character" w:customStyle="1" w:styleId="TestonotaapidipaginaCarattere">
    <w:name w:val="Testo nota a piè di pagina Carattere"/>
    <w:basedOn w:val="Carpredefinitoparagrafo"/>
    <w:link w:val="Testonotaapidipagina"/>
    <w:uiPriority w:val="99"/>
    <w:rsid w:val="003809FD"/>
    <w:rPr>
      <w:rFonts w:eastAsiaTheme="minorEastAsia"/>
      <w:sz w:val="20"/>
      <w:szCs w:val="20"/>
    </w:rPr>
  </w:style>
  <w:style w:type="character" w:styleId="Enfasidelicata">
    <w:name w:val="Subtle Emphasis"/>
    <w:basedOn w:val="Carpredefinitoparagrafo"/>
    <w:uiPriority w:val="19"/>
    <w:qFormat/>
    <w:rsid w:val="003809FD"/>
    <w:rPr>
      <w:rFonts w:eastAsiaTheme="minorEastAsia" w:cstheme="minorBidi"/>
      <w:bCs w:val="0"/>
      <w:i/>
      <w:iCs/>
      <w:color w:val="808080" w:themeColor="text1" w:themeTint="7F"/>
      <w:szCs w:val="22"/>
      <w:lang w:val="it-IT"/>
    </w:rPr>
  </w:style>
  <w:style w:type="table" w:customStyle="1" w:styleId="Sfondochiaro-Colore11">
    <w:name w:val="Sfondo chiaro - Colore 11"/>
    <w:basedOn w:val="Tabellanormale"/>
    <w:uiPriority w:val="60"/>
    <w:rsid w:val="003809FD"/>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Elencomedio2-Colore1">
    <w:name w:val="Medium List 2 Accent 1"/>
    <w:basedOn w:val="Tabellanormale"/>
    <w:uiPriority w:val="66"/>
    <w:rsid w:val="003809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1">
    <w:name w:val="Calendar 1"/>
    <w:basedOn w:val="Tabellanormale"/>
    <w:uiPriority w:val="99"/>
    <w:qFormat/>
    <w:rsid w:val="003809FD"/>
    <w:pPr>
      <w:spacing w:after="0" w:line="240" w:lineRule="auto"/>
    </w:pPr>
    <w:rPr>
      <w:rFonts w:eastAsiaTheme="minorEastAsia"/>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Indice1">
    <w:name w:val="index 1"/>
    <w:basedOn w:val="Normale"/>
    <w:next w:val="Normale"/>
    <w:autoRedefine/>
    <w:uiPriority w:val="99"/>
    <w:unhideWhenUsed/>
    <w:rsid w:val="002F31DB"/>
    <w:pPr>
      <w:keepNext/>
      <w:tabs>
        <w:tab w:val="right" w:leader="dot" w:pos="9628"/>
      </w:tabs>
      <w:spacing w:after="0" w:line="480" w:lineRule="auto"/>
    </w:pPr>
    <w:rPr>
      <w:b/>
      <w:bCs/>
      <w:noProof/>
      <w:sz w:val="28"/>
      <w:szCs w:val="28"/>
    </w:rPr>
  </w:style>
  <w:style w:type="paragraph" w:styleId="Indice2">
    <w:name w:val="index 2"/>
    <w:basedOn w:val="Normale"/>
    <w:next w:val="Normale"/>
    <w:autoRedefine/>
    <w:uiPriority w:val="99"/>
    <w:unhideWhenUsed/>
    <w:rsid w:val="0036369C"/>
    <w:pPr>
      <w:spacing w:after="0"/>
      <w:ind w:left="440" w:hanging="220"/>
    </w:pPr>
    <w:rPr>
      <w:sz w:val="20"/>
      <w:szCs w:val="20"/>
    </w:rPr>
  </w:style>
  <w:style w:type="paragraph" w:styleId="Indice3">
    <w:name w:val="index 3"/>
    <w:basedOn w:val="Normale"/>
    <w:next w:val="Normale"/>
    <w:autoRedefine/>
    <w:uiPriority w:val="99"/>
    <w:unhideWhenUsed/>
    <w:rsid w:val="0036369C"/>
    <w:pPr>
      <w:spacing w:after="0"/>
      <w:ind w:left="660" w:hanging="220"/>
    </w:pPr>
    <w:rPr>
      <w:sz w:val="20"/>
      <w:szCs w:val="20"/>
    </w:rPr>
  </w:style>
  <w:style w:type="paragraph" w:styleId="Indice4">
    <w:name w:val="index 4"/>
    <w:basedOn w:val="Normale"/>
    <w:next w:val="Normale"/>
    <w:autoRedefine/>
    <w:uiPriority w:val="99"/>
    <w:unhideWhenUsed/>
    <w:rsid w:val="0036369C"/>
    <w:pPr>
      <w:spacing w:after="0"/>
      <w:ind w:left="880" w:hanging="220"/>
    </w:pPr>
    <w:rPr>
      <w:sz w:val="20"/>
      <w:szCs w:val="20"/>
    </w:rPr>
  </w:style>
  <w:style w:type="paragraph" w:styleId="Indice5">
    <w:name w:val="index 5"/>
    <w:basedOn w:val="Normale"/>
    <w:next w:val="Normale"/>
    <w:autoRedefine/>
    <w:uiPriority w:val="99"/>
    <w:unhideWhenUsed/>
    <w:rsid w:val="0036369C"/>
    <w:pPr>
      <w:spacing w:after="0"/>
      <w:ind w:left="1100" w:hanging="220"/>
    </w:pPr>
    <w:rPr>
      <w:sz w:val="20"/>
      <w:szCs w:val="20"/>
    </w:rPr>
  </w:style>
  <w:style w:type="paragraph" w:styleId="Indice6">
    <w:name w:val="index 6"/>
    <w:basedOn w:val="Normale"/>
    <w:next w:val="Normale"/>
    <w:autoRedefine/>
    <w:uiPriority w:val="99"/>
    <w:unhideWhenUsed/>
    <w:rsid w:val="0036369C"/>
    <w:pPr>
      <w:spacing w:after="0"/>
      <w:ind w:left="1320" w:hanging="220"/>
    </w:pPr>
    <w:rPr>
      <w:sz w:val="20"/>
      <w:szCs w:val="20"/>
    </w:rPr>
  </w:style>
  <w:style w:type="paragraph" w:styleId="Indice7">
    <w:name w:val="index 7"/>
    <w:basedOn w:val="Normale"/>
    <w:next w:val="Normale"/>
    <w:autoRedefine/>
    <w:uiPriority w:val="99"/>
    <w:unhideWhenUsed/>
    <w:rsid w:val="0036369C"/>
    <w:pPr>
      <w:spacing w:after="0"/>
      <w:ind w:left="1540" w:hanging="220"/>
    </w:pPr>
    <w:rPr>
      <w:sz w:val="20"/>
      <w:szCs w:val="20"/>
    </w:rPr>
  </w:style>
  <w:style w:type="paragraph" w:styleId="Indice8">
    <w:name w:val="index 8"/>
    <w:basedOn w:val="Normale"/>
    <w:next w:val="Normale"/>
    <w:autoRedefine/>
    <w:uiPriority w:val="99"/>
    <w:unhideWhenUsed/>
    <w:rsid w:val="0036369C"/>
    <w:pPr>
      <w:spacing w:after="0"/>
      <w:ind w:left="1760" w:hanging="220"/>
    </w:pPr>
    <w:rPr>
      <w:sz w:val="20"/>
      <w:szCs w:val="20"/>
    </w:rPr>
  </w:style>
  <w:style w:type="paragraph" w:styleId="Indice9">
    <w:name w:val="index 9"/>
    <w:basedOn w:val="Normale"/>
    <w:next w:val="Normale"/>
    <w:autoRedefine/>
    <w:uiPriority w:val="99"/>
    <w:unhideWhenUsed/>
    <w:rsid w:val="0036369C"/>
    <w:pPr>
      <w:spacing w:after="0"/>
      <w:ind w:left="1980" w:hanging="220"/>
    </w:pPr>
    <w:rPr>
      <w:sz w:val="20"/>
      <w:szCs w:val="20"/>
    </w:rPr>
  </w:style>
  <w:style w:type="paragraph" w:styleId="Titoloindice">
    <w:name w:val="index heading"/>
    <w:basedOn w:val="Normale"/>
    <w:next w:val="Indice1"/>
    <w:uiPriority w:val="99"/>
    <w:unhideWhenUsed/>
    <w:rsid w:val="0036369C"/>
    <w:pPr>
      <w:spacing w:after="0"/>
    </w:pPr>
    <w:rPr>
      <w:sz w:val="20"/>
      <w:szCs w:val="20"/>
    </w:rPr>
  </w:style>
  <w:style w:type="paragraph" w:styleId="Intestazione">
    <w:name w:val="header"/>
    <w:basedOn w:val="Normale"/>
    <w:link w:val="IntestazioneCarattere"/>
    <w:unhideWhenUsed/>
    <w:rsid w:val="003636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6369C"/>
  </w:style>
  <w:style w:type="paragraph" w:styleId="Pidipagina">
    <w:name w:val="footer"/>
    <w:basedOn w:val="Normale"/>
    <w:link w:val="PidipaginaCarattere"/>
    <w:uiPriority w:val="99"/>
    <w:unhideWhenUsed/>
    <w:rsid w:val="003636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6369C"/>
  </w:style>
  <w:style w:type="paragraph" w:styleId="Rientrocorpodeltesto3">
    <w:name w:val="Body Text Indent 3"/>
    <w:basedOn w:val="Normale"/>
    <w:link w:val="Rientrocorpodeltesto3Carattere"/>
    <w:uiPriority w:val="99"/>
    <w:rsid w:val="00B971F4"/>
    <w:pPr>
      <w:widowControl w:val="0"/>
      <w:autoSpaceDN w:val="0"/>
      <w:adjustRightInd w:val="0"/>
      <w:spacing w:after="120" w:line="240" w:lineRule="auto"/>
      <w:ind w:left="283"/>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uiPriority w:val="99"/>
    <w:rsid w:val="00B971F4"/>
    <w:rPr>
      <w:rFonts w:ascii="Times New Roman" w:eastAsia="Times New Roman" w:hAnsi="Times New Roman" w:cs="Times New Roman"/>
      <w:sz w:val="16"/>
      <w:szCs w:val="16"/>
      <w:lang w:eastAsia="it-IT"/>
    </w:rPr>
  </w:style>
  <w:style w:type="paragraph" w:styleId="Corpodeltesto">
    <w:name w:val="Body Text"/>
    <w:basedOn w:val="Normale"/>
    <w:link w:val="CorpodeltestoCarattere"/>
    <w:uiPriority w:val="99"/>
    <w:unhideWhenUsed/>
    <w:rsid w:val="003F0127"/>
    <w:pPr>
      <w:spacing w:after="120"/>
    </w:pPr>
  </w:style>
  <w:style w:type="character" w:customStyle="1" w:styleId="CorpodeltestoCarattere">
    <w:name w:val="Corpo del testo Carattere"/>
    <w:basedOn w:val="Carpredefinitoparagrafo"/>
    <w:link w:val="Corpodeltesto"/>
    <w:uiPriority w:val="99"/>
    <w:rsid w:val="003F0127"/>
  </w:style>
  <w:style w:type="character" w:styleId="Numeropagina">
    <w:name w:val="page number"/>
    <w:basedOn w:val="Carpredefinitoparagrafo"/>
    <w:rsid w:val="003F0127"/>
  </w:style>
  <w:style w:type="paragraph" w:customStyle="1" w:styleId="Paragrafoelenco1">
    <w:name w:val="Paragrafo elenco1"/>
    <w:basedOn w:val="Normale"/>
    <w:link w:val="ListParagraphCarattere"/>
    <w:qFormat/>
    <w:rsid w:val="00A143DB"/>
    <w:pPr>
      <w:ind w:left="720"/>
    </w:pPr>
    <w:rPr>
      <w:rFonts w:ascii="Calibri" w:eastAsia="Times New Roman" w:hAnsi="Calibri" w:cs="Calibri"/>
      <w:lang w:eastAsia="it-IT"/>
    </w:rPr>
  </w:style>
  <w:style w:type="character" w:customStyle="1" w:styleId="ListParagraphCarattere">
    <w:name w:val="List Paragraph Carattere"/>
    <w:link w:val="Paragrafoelenco1"/>
    <w:locked/>
    <w:rsid w:val="00A143DB"/>
    <w:rPr>
      <w:rFonts w:ascii="Calibri" w:eastAsia="Times New Roman" w:hAnsi="Calibri" w:cs="Calibri"/>
      <w:lang w:eastAsia="it-IT"/>
    </w:rPr>
  </w:style>
  <w:style w:type="paragraph" w:customStyle="1" w:styleId="Paragrafoelenco10">
    <w:name w:val="Paragrafo elenco1"/>
    <w:basedOn w:val="Normale"/>
    <w:link w:val="ListParagraphChar"/>
    <w:qFormat/>
    <w:rsid w:val="00A143DB"/>
    <w:pPr>
      <w:ind w:left="720"/>
    </w:pPr>
    <w:rPr>
      <w:rFonts w:ascii="Calibri" w:eastAsia="Calibri" w:hAnsi="Calibri" w:cs="Calibri"/>
    </w:rPr>
  </w:style>
  <w:style w:type="character" w:styleId="Enfasigrassetto">
    <w:name w:val="Strong"/>
    <w:basedOn w:val="Carpredefinitoparagrafo"/>
    <w:uiPriority w:val="22"/>
    <w:qFormat/>
    <w:rsid w:val="00A143DB"/>
    <w:rPr>
      <w:b/>
      <w:bCs/>
    </w:rPr>
  </w:style>
  <w:style w:type="paragraph" w:customStyle="1" w:styleId="StileTitolo1Maiuscoletto">
    <w:name w:val="Stile Titolo 1 + Maiuscoletto"/>
    <w:basedOn w:val="Titolo1"/>
    <w:autoRedefine/>
    <w:rsid w:val="00A143DB"/>
    <w:pPr>
      <w:keepLines w:val="0"/>
      <w:spacing w:before="0" w:after="60" w:line="240" w:lineRule="auto"/>
    </w:pPr>
    <w:rPr>
      <w:rFonts w:ascii="Times New Roman" w:eastAsia="Times New Roman" w:hAnsi="Times New Roman" w:cs="Times New Roman"/>
      <w:smallCaps/>
      <w:color w:val="auto"/>
      <w:kern w:val="32"/>
      <w:sz w:val="32"/>
      <w:szCs w:val="32"/>
      <w:lang w:eastAsia="it-IT"/>
    </w:rPr>
  </w:style>
  <w:style w:type="character" w:styleId="Enfasicorsivo">
    <w:name w:val="Emphasis"/>
    <w:basedOn w:val="Carpredefinitoparagrafo"/>
    <w:uiPriority w:val="20"/>
    <w:qFormat/>
    <w:rsid w:val="00A143DB"/>
    <w:rPr>
      <w:i/>
      <w:iCs/>
    </w:rPr>
  </w:style>
  <w:style w:type="character" w:customStyle="1" w:styleId="ListParagraphChar">
    <w:name w:val="List Paragraph Char"/>
    <w:link w:val="Paragrafoelenco10"/>
    <w:locked/>
    <w:rsid w:val="005325AC"/>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788528">
      <w:bodyDiv w:val="1"/>
      <w:marLeft w:val="0"/>
      <w:marRight w:val="0"/>
      <w:marTop w:val="0"/>
      <w:marBottom w:val="0"/>
      <w:divBdr>
        <w:top w:val="none" w:sz="0" w:space="0" w:color="auto"/>
        <w:left w:val="none" w:sz="0" w:space="0" w:color="auto"/>
        <w:bottom w:val="none" w:sz="0" w:space="0" w:color="auto"/>
        <w:right w:val="none" w:sz="0" w:space="0" w:color="auto"/>
      </w:divBdr>
    </w:div>
    <w:div w:id="63139925">
      <w:bodyDiv w:val="1"/>
      <w:marLeft w:val="0"/>
      <w:marRight w:val="0"/>
      <w:marTop w:val="0"/>
      <w:marBottom w:val="0"/>
      <w:divBdr>
        <w:top w:val="none" w:sz="0" w:space="0" w:color="auto"/>
        <w:left w:val="none" w:sz="0" w:space="0" w:color="auto"/>
        <w:bottom w:val="none" w:sz="0" w:space="0" w:color="auto"/>
        <w:right w:val="none" w:sz="0" w:space="0" w:color="auto"/>
      </w:divBdr>
    </w:div>
    <w:div w:id="136380713">
      <w:bodyDiv w:val="1"/>
      <w:marLeft w:val="0"/>
      <w:marRight w:val="0"/>
      <w:marTop w:val="0"/>
      <w:marBottom w:val="0"/>
      <w:divBdr>
        <w:top w:val="none" w:sz="0" w:space="0" w:color="auto"/>
        <w:left w:val="none" w:sz="0" w:space="0" w:color="auto"/>
        <w:bottom w:val="none" w:sz="0" w:space="0" w:color="auto"/>
        <w:right w:val="none" w:sz="0" w:space="0" w:color="auto"/>
      </w:divBdr>
    </w:div>
    <w:div w:id="177081124">
      <w:bodyDiv w:val="1"/>
      <w:marLeft w:val="0"/>
      <w:marRight w:val="0"/>
      <w:marTop w:val="0"/>
      <w:marBottom w:val="0"/>
      <w:divBdr>
        <w:top w:val="none" w:sz="0" w:space="0" w:color="auto"/>
        <w:left w:val="none" w:sz="0" w:space="0" w:color="auto"/>
        <w:bottom w:val="none" w:sz="0" w:space="0" w:color="auto"/>
        <w:right w:val="none" w:sz="0" w:space="0" w:color="auto"/>
      </w:divBdr>
    </w:div>
    <w:div w:id="380130730">
      <w:bodyDiv w:val="1"/>
      <w:marLeft w:val="0"/>
      <w:marRight w:val="0"/>
      <w:marTop w:val="0"/>
      <w:marBottom w:val="0"/>
      <w:divBdr>
        <w:top w:val="none" w:sz="0" w:space="0" w:color="auto"/>
        <w:left w:val="none" w:sz="0" w:space="0" w:color="auto"/>
        <w:bottom w:val="none" w:sz="0" w:space="0" w:color="auto"/>
        <w:right w:val="none" w:sz="0" w:space="0" w:color="auto"/>
      </w:divBdr>
    </w:div>
    <w:div w:id="486626602">
      <w:bodyDiv w:val="1"/>
      <w:marLeft w:val="0"/>
      <w:marRight w:val="0"/>
      <w:marTop w:val="0"/>
      <w:marBottom w:val="0"/>
      <w:divBdr>
        <w:top w:val="none" w:sz="0" w:space="0" w:color="auto"/>
        <w:left w:val="none" w:sz="0" w:space="0" w:color="auto"/>
        <w:bottom w:val="none" w:sz="0" w:space="0" w:color="auto"/>
        <w:right w:val="none" w:sz="0" w:space="0" w:color="auto"/>
      </w:divBdr>
    </w:div>
    <w:div w:id="712314936">
      <w:bodyDiv w:val="1"/>
      <w:marLeft w:val="0"/>
      <w:marRight w:val="0"/>
      <w:marTop w:val="0"/>
      <w:marBottom w:val="0"/>
      <w:divBdr>
        <w:top w:val="none" w:sz="0" w:space="0" w:color="auto"/>
        <w:left w:val="none" w:sz="0" w:space="0" w:color="auto"/>
        <w:bottom w:val="none" w:sz="0" w:space="0" w:color="auto"/>
        <w:right w:val="none" w:sz="0" w:space="0" w:color="auto"/>
      </w:divBdr>
    </w:div>
    <w:div w:id="802965239">
      <w:bodyDiv w:val="1"/>
      <w:marLeft w:val="0"/>
      <w:marRight w:val="0"/>
      <w:marTop w:val="0"/>
      <w:marBottom w:val="0"/>
      <w:divBdr>
        <w:top w:val="none" w:sz="0" w:space="0" w:color="auto"/>
        <w:left w:val="none" w:sz="0" w:space="0" w:color="auto"/>
        <w:bottom w:val="none" w:sz="0" w:space="0" w:color="auto"/>
        <w:right w:val="none" w:sz="0" w:space="0" w:color="auto"/>
      </w:divBdr>
    </w:div>
    <w:div w:id="834104151">
      <w:bodyDiv w:val="1"/>
      <w:marLeft w:val="0"/>
      <w:marRight w:val="0"/>
      <w:marTop w:val="0"/>
      <w:marBottom w:val="0"/>
      <w:divBdr>
        <w:top w:val="none" w:sz="0" w:space="0" w:color="auto"/>
        <w:left w:val="none" w:sz="0" w:space="0" w:color="auto"/>
        <w:bottom w:val="none" w:sz="0" w:space="0" w:color="auto"/>
        <w:right w:val="none" w:sz="0" w:space="0" w:color="auto"/>
      </w:divBdr>
    </w:div>
    <w:div w:id="956718291">
      <w:bodyDiv w:val="1"/>
      <w:marLeft w:val="0"/>
      <w:marRight w:val="0"/>
      <w:marTop w:val="0"/>
      <w:marBottom w:val="0"/>
      <w:divBdr>
        <w:top w:val="none" w:sz="0" w:space="0" w:color="auto"/>
        <w:left w:val="none" w:sz="0" w:space="0" w:color="auto"/>
        <w:bottom w:val="none" w:sz="0" w:space="0" w:color="auto"/>
        <w:right w:val="none" w:sz="0" w:space="0" w:color="auto"/>
      </w:divBdr>
    </w:div>
    <w:div w:id="1003043747">
      <w:bodyDiv w:val="1"/>
      <w:marLeft w:val="0"/>
      <w:marRight w:val="0"/>
      <w:marTop w:val="0"/>
      <w:marBottom w:val="0"/>
      <w:divBdr>
        <w:top w:val="none" w:sz="0" w:space="0" w:color="auto"/>
        <w:left w:val="none" w:sz="0" w:space="0" w:color="auto"/>
        <w:bottom w:val="none" w:sz="0" w:space="0" w:color="auto"/>
        <w:right w:val="none" w:sz="0" w:space="0" w:color="auto"/>
      </w:divBdr>
    </w:div>
    <w:div w:id="1021780214">
      <w:bodyDiv w:val="1"/>
      <w:marLeft w:val="0"/>
      <w:marRight w:val="0"/>
      <w:marTop w:val="0"/>
      <w:marBottom w:val="0"/>
      <w:divBdr>
        <w:top w:val="none" w:sz="0" w:space="0" w:color="auto"/>
        <w:left w:val="none" w:sz="0" w:space="0" w:color="auto"/>
        <w:bottom w:val="none" w:sz="0" w:space="0" w:color="auto"/>
        <w:right w:val="none" w:sz="0" w:space="0" w:color="auto"/>
      </w:divBdr>
    </w:div>
    <w:div w:id="1090809887">
      <w:bodyDiv w:val="1"/>
      <w:marLeft w:val="0"/>
      <w:marRight w:val="0"/>
      <w:marTop w:val="0"/>
      <w:marBottom w:val="0"/>
      <w:divBdr>
        <w:top w:val="none" w:sz="0" w:space="0" w:color="auto"/>
        <w:left w:val="none" w:sz="0" w:space="0" w:color="auto"/>
        <w:bottom w:val="none" w:sz="0" w:space="0" w:color="auto"/>
        <w:right w:val="none" w:sz="0" w:space="0" w:color="auto"/>
      </w:divBdr>
    </w:div>
    <w:div w:id="1098330341">
      <w:bodyDiv w:val="1"/>
      <w:marLeft w:val="0"/>
      <w:marRight w:val="0"/>
      <w:marTop w:val="0"/>
      <w:marBottom w:val="0"/>
      <w:divBdr>
        <w:top w:val="none" w:sz="0" w:space="0" w:color="auto"/>
        <w:left w:val="none" w:sz="0" w:space="0" w:color="auto"/>
        <w:bottom w:val="none" w:sz="0" w:space="0" w:color="auto"/>
        <w:right w:val="none" w:sz="0" w:space="0" w:color="auto"/>
      </w:divBdr>
    </w:div>
    <w:div w:id="1124887038">
      <w:bodyDiv w:val="1"/>
      <w:marLeft w:val="0"/>
      <w:marRight w:val="0"/>
      <w:marTop w:val="0"/>
      <w:marBottom w:val="0"/>
      <w:divBdr>
        <w:top w:val="none" w:sz="0" w:space="0" w:color="auto"/>
        <w:left w:val="none" w:sz="0" w:space="0" w:color="auto"/>
        <w:bottom w:val="none" w:sz="0" w:space="0" w:color="auto"/>
        <w:right w:val="none" w:sz="0" w:space="0" w:color="auto"/>
      </w:divBdr>
    </w:div>
    <w:div w:id="1217011272">
      <w:bodyDiv w:val="1"/>
      <w:marLeft w:val="0"/>
      <w:marRight w:val="0"/>
      <w:marTop w:val="0"/>
      <w:marBottom w:val="0"/>
      <w:divBdr>
        <w:top w:val="none" w:sz="0" w:space="0" w:color="auto"/>
        <w:left w:val="none" w:sz="0" w:space="0" w:color="auto"/>
        <w:bottom w:val="none" w:sz="0" w:space="0" w:color="auto"/>
        <w:right w:val="none" w:sz="0" w:space="0" w:color="auto"/>
      </w:divBdr>
    </w:div>
    <w:div w:id="1225873372">
      <w:bodyDiv w:val="1"/>
      <w:marLeft w:val="0"/>
      <w:marRight w:val="0"/>
      <w:marTop w:val="0"/>
      <w:marBottom w:val="0"/>
      <w:divBdr>
        <w:top w:val="none" w:sz="0" w:space="0" w:color="auto"/>
        <w:left w:val="none" w:sz="0" w:space="0" w:color="auto"/>
        <w:bottom w:val="none" w:sz="0" w:space="0" w:color="auto"/>
        <w:right w:val="none" w:sz="0" w:space="0" w:color="auto"/>
      </w:divBdr>
    </w:div>
    <w:div w:id="1231692919">
      <w:bodyDiv w:val="1"/>
      <w:marLeft w:val="0"/>
      <w:marRight w:val="0"/>
      <w:marTop w:val="0"/>
      <w:marBottom w:val="0"/>
      <w:divBdr>
        <w:top w:val="none" w:sz="0" w:space="0" w:color="auto"/>
        <w:left w:val="none" w:sz="0" w:space="0" w:color="auto"/>
        <w:bottom w:val="none" w:sz="0" w:space="0" w:color="auto"/>
        <w:right w:val="none" w:sz="0" w:space="0" w:color="auto"/>
      </w:divBdr>
      <w:divsChild>
        <w:div w:id="2104374694">
          <w:marLeft w:val="0"/>
          <w:marRight w:val="0"/>
          <w:marTop w:val="136"/>
          <w:marBottom w:val="136"/>
          <w:divBdr>
            <w:top w:val="none" w:sz="0" w:space="0" w:color="auto"/>
            <w:left w:val="none" w:sz="0" w:space="0" w:color="auto"/>
            <w:bottom w:val="none" w:sz="0" w:space="0" w:color="auto"/>
            <w:right w:val="none" w:sz="0" w:space="0" w:color="auto"/>
          </w:divBdr>
          <w:divsChild>
            <w:div w:id="968974176">
              <w:marLeft w:val="0"/>
              <w:marRight w:val="0"/>
              <w:marTop w:val="14"/>
              <w:marBottom w:val="0"/>
              <w:divBdr>
                <w:top w:val="single" w:sz="6" w:space="0" w:color="E6E6E6"/>
                <w:left w:val="none" w:sz="0" w:space="0" w:color="auto"/>
                <w:bottom w:val="single" w:sz="6" w:space="0" w:color="E6E6E6"/>
                <w:right w:val="none" w:sz="0" w:space="0" w:color="auto"/>
              </w:divBdr>
              <w:divsChild>
                <w:div w:id="1627085578">
                  <w:marLeft w:val="0"/>
                  <w:marRight w:val="0"/>
                  <w:marTop w:val="0"/>
                  <w:marBottom w:val="0"/>
                  <w:divBdr>
                    <w:top w:val="none" w:sz="0" w:space="0" w:color="auto"/>
                    <w:left w:val="single" w:sz="6" w:space="0" w:color="E6E6E6"/>
                    <w:bottom w:val="none" w:sz="0" w:space="0" w:color="auto"/>
                    <w:right w:val="single" w:sz="6" w:space="0" w:color="E6E6E6"/>
                  </w:divBdr>
                  <w:divsChild>
                    <w:div w:id="1129514317">
                      <w:marLeft w:val="0"/>
                      <w:marRight w:val="0"/>
                      <w:marTop w:val="0"/>
                      <w:marBottom w:val="0"/>
                      <w:divBdr>
                        <w:top w:val="none" w:sz="0" w:space="0" w:color="auto"/>
                        <w:left w:val="none" w:sz="0" w:space="0" w:color="auto"/>
                        <w:bottom w:val="none" w:sz="0" w:space="0" w:color="auto"/>
                        <w:right w:val="none" w:sz="0" w:space="0" w:color="auto"/>
                      </w:divBdr>
                      <w:divsChild>
                        <w:div w:id="1020475648">
                          <w:marLeft w:val="0"/>
                          <w:marRight w:val="0"/>
                          <w:marTop w:val="0"/>
                          <w:marBottom w:val="0"/>
                          <w:divBdr>
                            <w:top w:val="none" w:sz="0" w:space="0" w:color="auto"/>
                            <w:left w:val="none" w:sz="0" w:space="0" w:color="auto"/>
                            <w:bottom w:val="none" w:sz="0" w:space="0" w:color="auto"/>
                            <w:right w:val="none" w:sz="0" w:space="0" w:color="auto"/>
                          </w:divBdr>
                          <w:divsChild>
                            <w:div w:id="274754282">
                              <w:marLeft w:val="0"/>
                              <w:marRight w:val="0"/>
                              <w:marTop w:val="0"/>
                              <w:marBottom w:val="0"/>
                              <w:divBdr>
                                <w:top w:val="none" w:sz="0" w:space="0" w:color="auto"/>
                                <w:left w:val="none" w:sz="0" w:space="0" w:color="auto"/>
                                <w:bottom w:val="none" w:sz="0" w:space="0" w:color="auto"/>
                                <w:right w:val="none" w:sz="0" w:space="0" w:color="auto"/>
                              </w:divBdr>
                              <w:divsChild>
                                <w:div w:id="353073084">
                                  <w:marLeft w:val="0"/>
                                  <w:marRight w:val="0"/>
                                  <w:marTop w:val="0"/>
                                  <w:marBottom w:val="0"/>
                                  <w:divBdr>
                                    <w:top w:val="none" w:sz="0" w:space="0" w:color="auto"/>
                                    <w:left w:val="none" w:sz="0" w:space="0" w:color="auto"/>
                                    <w:bottom w:val="none" w:sz="0" w:space="0" w:color="auto"/>
                                    <w:right w:val="none" w:sz="0" w:space="0" w:color="auto"/>
                                  </w:divBdr>
                                  <w:divsChild>
                                    <w:div w:id="1276139563">
                                      <w:marLeft w:val="0"/>
                                      <w:marRight w:val="0"/>
                                      <w:marTop w:val="0"/>
                                      <w:marBottom w:val="0"/>
                                      <w:divBdr>
                                        <w:top w:val="none" w:sz="0" w:space="0" w:color="auto"/>
                                        <w:left w:val="none" w:sz="0" w:space="0" w:color="auto"/>
                                        <w:bottom w:val="none" w:sz="0" w:space="0" w:color="auto"/>
                                        <w:right w:val="none" w:sz="0" w:space="0" w:color="auto"/>
                                      </w:divBdr>
                                      <w:divsChild>
                                        <w:div w:id="1421832085">
                                          <w:marLeft w:val="0"/>
                                          <w:marRight w:val="0"/>
                                          <w:marTop w:val="0"/>
                                          <w:marBottom w:val="0"/>
                                          <w:divBdr>
                                            <w:top w:val="none" w:sz="0" w:space="0" w:color="auto"/>
                                            <w:left w:val="none" w:sz="0" w:space="0" w:color="auto"/>
                                            <w:bottom w:val="none" w:sz="0" w:space="0" w:color="auto"/>
                                            <w:right w:val="none" w:sz="0" w:space="0" w:color="auto"/>
                                          </w:divBdr>
                                          <w:divsChild>
                                            <w:div w:id="119617148">
                                              <w:marLeft w:val="0"/>
                                              <w:marRight w:val="0"/>
                                              <w:marTop w:val="0"/>
                                              <w:marBottom w:val="0"/>
                                              <w:divBdr>
                                                <w:top w:val="none" w:sz="0" w:space="0" w:color="auto"/>
                                                <w:left w:val="none" w:sz="0" w:space="0" w:color="auto"/>
                                                <w:bottom w:val="none" w:sz="0" w:space="0" w:color="auto"/>
                                                <w:right w:val="none" w:sz="0" w:space="0" w:color="auto"/>
                                              </w:divBdr>
                                              <w:divsChild>
                                                <w:div w:id="2682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1040833">
      <w:bodyDiv w:val="1"/>
      <w:marLeft w:val="0"/>
      <w:marRight w:val="0"/>
      <w:marTop w:val="0"/>
      <w:marBottom w:val="0"/>
      <w:divBdr>
        <w:top w:val="none" w:sz="0" w:space="0" w:color="auto"/>
        <w:left w:val="none" w:sz="0" w:space="0" w:color="auto"/>
        <w:bottom w:val="none" w:sz="0" w:space="0" w:color="auto"/>
        <w:right w:val="none" w:sz="0" w:space="0" w:color="auto"/>
      </w:divBdr>
    </w:div>
    <w:div w:id="1251425856">
      <w:bodyDiv w:val="1"/>
      <w:marLeft w:val="0"/>
      <w:marRight w:val="0"/>
      <w:marTop w:val="0"/>
      <w:marBottom w:val="0"/>
      <w:divBdr>
        <w:top w:val="none" w:sz="0" w:space="0" w:color="auto"/>
        <w:left w:val="none" w:sz="0" w:space="0" w:color="auto"/>
        <w:bottom w:val="none" w:sz="0" w:space="0" w:color="auto"/>
        <w:right w:val="none" w:sz="0" w:space="0" w:color="auto"/>
      </w:divBdr>
    </w:div>
    <w:div w:id="1311401867">
      <w:bodyDiv w:val="1"/>
      <w:marLeft w:val="0"/>
      <w:marRight w:val="0"/>
      <w:marTop w:val="0"/>
      <w:marBottom w:val="0"/>
      <w:divBdr>
        <w:top w:val="none" w:sz="0" w:space="0" w:color="auto"/>
        <w:left w:val="none" w:sz="0" w:space="0" w:color="auto"/>
        <w:bottom w:val="none" w:sz="0" w:space="0" w:color="auto"/>
        <w:right w:val="none" w:sz="0" w:space="0" w:color="auto"/>
      </w:divBdr>
    </w:div>
    <w:div w:id="1519806758">
      <w:bodyDiv w:val="1"/>
      <w:marLeft w:val="0"/>
      <w:marRight w:val="0"/>
      <w:marTop w:val="0"/>
      <w:marBottom w:val="0"/>
      <w:divBdr>
        <w:top w:val="none" w:sz="0" w:space="0" w:color="auto"/>
        <w:left w:val="none" w:sz="0" w:space="0" w:color="auto"/>
        <w:bottom w:val="none" w:sz="0" w:space="0" w:color="auto"/>
        <w:right w:val="none" w:sz="0" w:space="0" w:color="auto"/>
      </w:divBdr>
    </w:div>
    <w:div w:id="1562129767">
      <w:bodyDiv w:val="1"/>
      <w:marLeft w:val="0"/>
      <w:marRight w:val="0"/>
      <w:marTop w:val="0"/>
      <w:marBottom w:val="0"/>
      <w:divBdr>
        <w:top w:val="none" w:sz="0" w:space="0" w:color="auto"/>
        <w:left w:val="none" w:sz="0" w:space="0" w:color="auto"/>
        <w:bottom w:val="none" w:sz="0" w:space="0" w:color="auto"/>
        <w:right w:val="none" w:sz="0" w:space="0" w:color="auto"/>
      </w:divBdr>
    </w:div>
    <w:div w:id="1583680606">
      <w:bodyDiv w:val="1"/>
      <w:marLeft w:val="0"/>
      <w:marRight w:val="0"/>
      <w:marTop w:val="0"/>
      <w:marBottom w:val="0"/>
      <w:divBdr>
        <w:top w:val="none" w:sz="0" w:space="0" w:color="auto"/>
        <w:left w:val="none" w:sz="0" w:space="0" w:color="auto"/>
        <w:bottom w:val="none" w:sz="0" w:space="0" w:color="auto"/>
        <w:right w:val="none" w:sz="0" w:space="0" w:color="auto"/>
      </w:divBdr>
    </w:div>
    <w:div w:id="1692947350">
      <w:bodyDiv w:val="1"/>
      <w:marLeft w:val="0"/>
      <w:marRight w:val="0"/>
      <w:marTop w:val="0"/>
      <w:marBottom w:val="0"/>
      <w:divBdr>
        <w:top w:val="none" w:sz="0" w:space="0" w:color="auto"/>
        <w:left w:val="none" w:sz="0" w:space="0" w:color="auto"/>
        <w:bottom w:val="none" w:sz="0" w:space="0" w:color="auto"/>
        <w:right w:val="none" w:sz="0" w:space="0" w:color="auto"/>
      </w:divBdr>
    </w:div>
    <w:div w:id="1768236247">
      <w:bodyDiv w:val="1"/>
      <w:marLeft w:val="0"/>
      <w:marRight w:val="0"/>
      <w:marTop w:val="0"/>
      <w:marBottom w:val="0"/>
      <w:divBdr>
        <w:top w:val="none" w:sz="0" w:space="0" w:color="auto"/>
        <w:left w:val="none" w:sz="0" w:space="0" w:color="auto"/>
        <w:bottom w:val="none" w:sz="0" w:space="0" w:color="auto"/>
        <w:right w:val="none" w:sz="0" w:space="0" w:color="auto"/>
      </w:divBdr>
    </w:div>
    <w:div w:id="1798832825">
      <w:bodyDiv w:val="1"/>
      <w:marLeft w:val="0"/>
      <w:marRight w:val="0"/>
      <w:marTop w:val="0"/>
      <w:marBottom w:val="0"/>
      <w:divBdr>
        <w:top w:val="none" w:sz="0" w:space="0" w:color="auto"/>
        <w:left w:val="none" w:sz="0" w:space="0" w:color="auto"/>
        <w:bottom w:val="none" w:sz="0" w:space="0" w:color="auto"/>
        <w:right w:val="none" w:sz="0" w:space="0" w:color="auto"/>
      </w:divBdr>
    </w:div>
    <w:div w:id="1827279897">
      <w:bodyDiv w:val="1"/>
      <w:marLeft w:val="0"/>
      <w:marRight w:val="0"/>
      <w:marTop w:val="0"/>
      <w:marBottom w:val="0"/>
      <w:divBdr>
        <w:top w:val="none" w:sz="0" w:space="0" w:color="auto"/>
        <w:left w:val="none" w:sz="0" w:space="0" w:color="auto"/>
        <w:bottom w:val="none" w:sz="0" w:space="0" w:color="auto"/>
        <w:right w:val="none" w:sz="0" w:space="0" w:color="auto"/>
      </w:divBdr>
    </w:div>
    <w:div w:id="1828547448">
      <w:bodyDiv w:val="1"/>
      <w:marLeft w:val="0"/>
      <w:marRight w:val="0"/>
      <w:marTop w:val="0"/>
      <w:marBottom w:val="0"/>
      <w:divBdr>
        <w:top w:val="none" w:sz="0" w:space="0" w:color="auto"/>
        <w:left w:val="none" w:sz="0" w:space="0" w:color="auto"/>
        <w:bottom w:val="none" w:sz="0" w:space="0" w:color="auto"/>
        <w:right w:val="none" w:sz="0" w:space="0" w:color="auto"/>
      </w:divBdr>
    </w:div>
    <w:div w:id="1841046555">
      <w:bodyDiv w:val="1"/>
      <w:marLeft w:val="0"/>
      <w:marRight w:val="0"/>
      <w:marTop w:val="0"/>
      <w:marBottom w:val="0"/>
      <w:divBdr>
        <w:top w:val="none" w:sz="0" w:space="0" w:color="auto"/>
        <w:left w:val="none" w:sz="0" w:space="0" w:color="auto"/>
        <w:bottom w:val="none" w:sz="0" w:space="0" w:color="auto"/>
        <w:right w:val="none" w:sz="0" w:space="0" w:color="auto"/>
      </w:divBdr>
    </w:div>
    <w:div w:id="1852643946">
      <w:bodyDiv w:val="1"/>
      <w:marLeft w:val="0"/>
      <w:marRight w:val="0"/>
      <w:marTop w:val="0"/>
      <w:marBottom w:val="0"/>
      <w:divBdr>
        <w:top w:val="none" w:sz="0" w:space="0" w:color="auto"/>
        <w:left w:val="none" w:sz="0" w:space="0" w:color="auto"/>
        <w:bottom w:val="none" w:sz="0" w:space="0" w:color="auto"/>
        <w:right w:val="none" w:sz="0" w:space="0" w:color="auto"/>
      </w:divBdr>
    </w:div>
    <w:div w:id="1855919112">
      <w:bodyDiv w:val="1"/>
      <w:marLeft w:val="0"/>
      <w:marRight w:val="0"/>
      <w:marTop w:val="0"/>
      <w:marBottom w:val="0"/>
      <w:divBdr>
        <w:top w:val="none" w:sz="0" w:space="0" w:color="auto"/>
        <w:left w:val="none" w:sz="0" w:space="0" w:color="auto"/>
        <w:bottom w:val="none" w:sz="0" w:space="0" w:color="auto"/>
        <w:right w:val="none" w:sz="0" w:space="0" w:color="auto"/>
      </w:divBdr>
    </w:div>
    <w:div w:id="1917939205">
      <w:bodyDiv w:val="1"/>
      <w:marLeft w:val="0"/>
      <w:marRight w:val="0"/>
      <w:marTop w:val="0"/>
      <w:marBottom w:val="0"/>
      <w:divBdr>
        <w:top w:val="none" w:sz="0" w:space="0" w:color="auto"/>
        <w:left w:val="none" w:sz="0" w:space="0" w:color="auto"/>
        <w:bottom w:val="none" w:sz="0" w:space="0" w:color="auto"/>
        <w:right w:val="none" w:sz="0" w:space="0" w:color="auto"/>
      </w:divBdr>
    </w:div>
    <w:div w:id="1952392634">
      <w:bodyDiv w:val="1"/>
      <w:marLeft w:val="0"/>
      <w:marRight w:val="0"/>
      <w:marTop w:val="0"/>
      <w:marBottom w:val="0"/>
      <w:divBdr>
        <w:top w:val="none" w:sz="0" w:space="0" w:color="auto"/>
        <w:left w:val="none" w:sz="0" w:space="0" w:color="auto"/>
        <w:bottom w:val="none" w:sz="0" w:space="0" w:color="auto"/>
        <w:right w:val="none" w:sz="0" w:space="0" w:color="auto"/>
      </w:divBdr>
    </w:div>
    <w:div w:id="2000494126">
      <w:bodyDiv w:val="1"/>
      <w:marLeft w:val="0"/>
      <w:marRight w:val="0"/>
      <w:marTop w:val="0"/>
      <w:marBottom w:val="0"/>
      <w:divBdr>
        <w:top w:val="none" w:sz="0" w:space="0" w:color="auto"/>
        <w:left w:val="none" w:sz="0" w:space="0" w:color="auto"/>
        <w:bottom w:val="none" w:sz="0" w:space="0" w:color="auto"/>
        <w:right w:val="none" w:sz="0" w:space="0" w:color="auto"/>
      </w:divBdr>
    </w:div>
    <w:div w:id="2054424415">
      <w:bodyDiv w:val="1"/>
      <w:marLeft w:val="0"/>
      <w:marRight w:val="0"/>
      <w:marTop w:val="0"/>
      <w:marBottom w:val="0"/>
      <w:divBdr>
        <w:top w:val="none" w:sz="0" w:space="0" w:color="auto"/>
        <w:left w:val="none" w:sz="0" w:space="0" w:color="auto"/>
        <w:bottom w:val="none" w:sz="0" w:space="0" w:color="auto"/>
        <w:right w:val="none" w:sz="0" w:space="0" w:color="auto"/>
      </w:divBdr>
    </w:div>
    <w:div w:id="207142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41D36-76AB-4E99-8AB9-2F94CAF80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11828</Words>
  <Characters>67422</Characters>
  <Application>Microsoft Office Word</Application>
  <DocSecurity>0</DocSecurity>
  <Lines>561</Lines>
  <Paragraphs>158</Paragraphs>
  <ScaleCrop>false</ScaleCrop>
  <HeadingPairs>
    <vt:vector size="2" baseType="variant">
      <vt:variant>
        <vt:lpstr>Titolo</vt:lpstr>
      </vt:variant>
      <vt:variant>
        <vt:i4>1</vt:i4>
      </vt:variant>
    </vt:vector>
  </HeadingPairs>
  <TitlesOfParts>
    <vt:vector size="1" baseType="lpstr">
      <vt:lpstr/>
    </vt:vector>
  </TitlesOfParts>
  <Company>CRO</Company>
  <LinksUpToDate>false</LinksUpToDate>
  <CharactersWithSpaces>79092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Informatico</dc:creator>
  <cp:lastModifiedBy>informatico</cp:lastModifiedBy>
  <cp:revision>2</cp:revision>
  <cp:lastPrinted>2016-06-30T10:47:00Z</cp:lastPrinted>
  <dcterms:created xsi:type="dcterms:W3CDTF">2016-10-17T08:03:00Z</dcterms:created>
  <dcterms:modified xsi:type="dcterms:W3CDTF">2016-10-17T08:03:00Z</dcterms:modified>
</cp:coreProperties>
</file>